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2719" w:rsidP="00852719" w:rsidRDefault="00852719" w14:paraId="744EAA6B" w14:textId="77777777">
      <w:pPr>
        <w:jc w:val="center"/>
      </w:pPr>
      <w:r w:rsidRPr="00EA282E">
        <w:rPr>
          <w:noProof/>
          <w:color w:val="000000" w:themeColor="text1"/>
          <w:sz w:val="20"/>
          <w:szCs w:val="20"/>
        </w:rPr>
        <w:drawing>
          <wp:inline distT="0" distB="0" distL="0" distR="0" wp14:anchorId="701F2220" wp14:editId="756D11BE">
            <wp:extent cx="1655618" cy="10051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1-05-28 at 11.00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30" cy="101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19" w:rsidRDefault="00852719" w14:paraId="7EFDEC3B" w14:textId="77777777"/>
    <w:p w:rsidR="00852719" w:rsidRDefault="00852719" w14:paraId="6E5C9FD9" w14:textId="77777777"/>
    <w:p w:rsidR="00852719" w:rsidRDefault="00852719" w14:paraId="726D30F4" w14:textId="77777777"/>
    <w:p w:rsidR="00852719" w:rsidRDefault="00852719" w14:paraId="75C34BD3" w14:textId="77777777"/>
    <w:p w:rsidRPr="00E907E3" w:rsidR="00F025A3" w:rsidP="00F025A3" w:rsidRDefault="00F025A3" w14:paraId="4FB4B090" w14:textId="1484FF8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Paper </w:t>
      </w:r>
      <w:r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>Delivering Impact Sessions</w:t>
      </w:r>
      <w:r w:rsidRPr="00E907E3">
        <w:rPr>
          <w:rFonts w:ascii="Verdana" w:hAnsi="Verdana"/>
          <w:b/>
        </w:rPr>
        <w:t xml:space="preserve"> </w:t>
      </w:r>
    </w:p>
    <w:p w:rsidRPr="00E907E3" w:rsidR="00F025A3" w:rsidP="00F025A3" w:rsidRDefault="00F025A3" w14:paraId="61E66186" w14:textId="77777777">
      <w:pPr>
        <w:jc w:val="center"/>
        <w:rPr>
          <w:rFonts w:ascii="Verdana" w:hAnsi="Verdana"/>
        </w:rPr>
      </w:pPr>
    </w:p>
    <w:p w:rsidR="00F025A3" w:rsidP="00F025A3" w:rsidRDefault="00F025A3" w14:paraId="5E382A05" w14:textId="77777777">
      <w:pPr>
        <w:jc w:val="center"/>
        <w:rPr>
          <w:rFonts w:ascii="Verdana" w:hAnsi="Verdana"/>
        </w:rPr>
      </w:pPr>
      <w:r>
        <w:rPr>
          <w:rFonts w:ascii="Verdana" w:hAnsi="Verdana"/>
        </w:rPr>
        <w:t>Update for information, consideration, and feedback</w:t>
      </w:r>
    </w:p>
    <w:p w:rsidR="00F025A3" w:rsidP="00F025A3" w:rsidRDefault="00F025A3" w14:paraId="2BB0E194" w14:textId="77777777">
      <w:pPr>
        <w:jc w:val="center"/>
        <w:rPr>
          <w:rFonts w:ascii="Verdana" w:hAnsi="Verdana"/>
        </w:rPr>
      </w:pPr>
    </w:p>
    <w:p w:rsidR="00F025A3" w:rsidP="00F025A3" w:rsidRDefault="00F025A3" w14:paraId="3BCAA37D" w14:textId="77777777">
      <w:pPr>
        <w:jc w:val="center"/>
        <w:rPr>
          <w:rFonts w:ascii="Verdana" w:hAnsi="Verdana"/>
        </w:rPr>
      </w:pPr>
    </w:p>
    <w:p w:rsidR="00F025A3" w:rsidP="00F025A3" w:rsidRDefault="00F025A3" w14:paraId="67EEB924" w14:textId="77777777">
      <w:pPr>
        <w:jc w:val="center"/>
        <w:rPr>
          <w:rFonts w:ascii="Verdana" w:hAnsi="Verdana"/>
        </w:rPr>
      </w:pPr>
    </w:p>
    <w:p w:rsidR="00F025A3" w:rsidP="00F025A3" w:rsidRDefault="00F025A3" w14:paraId="4C4185E6" w14:textId="77777777">
      <w:pPr>
        <w:jc w:val="center"/>
        <w:rPr>
          <w:rFonts w:ascii="Verdana" w:hAnsi="Verdana"/>
        </w:rPr>
      </w:pPr>
      <w:r>
        <w:rPr>
          <w:rFonts w:ascii="Verdana" w:hAnsi="Verdana"/>
        </w:rPr>
        <w:t>June 2022</w:t>
      </w:r>
    </w:p>
    <w:p w:rsidR="00B9026B" w:rsidRDefault="00B9026B" w14:paraId="651C4D64" w14:textId="77777777"/>
    <w:p w:rsidR="00B9026B" w:rsidRDefault="00B9026B" w14:paraId="54CE2AB6" w14:textId="77777777">
      <w:r>
        <w:br w:type="page"/>
      </w:r>
    </w:p>
    <w:p w:rsidRPr="00F025A3" w:rsidR="00ED0870" w:rsidRDefault="00ED0870" w14:paraId="78382EAB" w14:textId="77777777">
      <w:pPr>
        <w:rPr>
          <w:rFonts w:ascii="Verdana" w:hAnsi="Verdana"/>
          <w:b/>
          <w:sz w:val="21"/>
          <w:szCs w:val="21"/>
        </w:rPr>
      </w:pPr>
      <w:r w:rsidRPr="00F025A3">
        <w:rPr>
          <w:rFonts w:ascii="Verdana" w:hAnsi="Verdana"/>
          <w:b/>
          <w:sz w:val="21"/>
          <w:szCs w:val="21"/>
        </w:rPr>
        <w:lastRenderedPageBreak/>
        <w:t>Aims and objectives</w:t>
      </w:r>
    </w:p>
    <w:p w:rsidRPr="00F025A3" w:rsidR="00ED0870" w:rsidRDefault="00ED0870" w14:paraId="611C40B1" w14:textId="77777777">
      <w:pPr>
        <w:rPr>
          <w:rFonts w:ascii="Verdana" w:hAnsi="Verdana"/>
          <w:b/>
          <w:sz w:val="21"/>
          <w:szCs w:val="21"/>
        </w:rPr>
      </w:pPr>
    </w:p>
    <w:p w:rsidRPr="00F025A3" w:rsidR="00090A93" w:rsidP="00090A93" w:rsidRDefault="00ED0870" w14:paraId="112092A3" w14:textId="7A145378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The Yorkshire and Humber Climate Commission is establishing a programme of ‘Delivering Impact’ Sessions that will run through to early 2024</w:t>
      </w:r>
      <w:r w:rsidRPr="00F025A3" w:rsidR="00090A93">
        <w:rPr>
          <w:rFonts w:ascii="Verdana" w:hAnsi="Verdana"/>
          <w:sz w:val="21"/>
          <w:szCs w:val="21"/>
        </w:rPr>
        <w:t xml:space="preserve"> with a focus on net zero, climate resilience, nature recovery and fair and inclusive (or just) transitions in the region. </w:t>
      </w:r>
    </w:p>
    <w:p w:rsidRPr="00F025A3" w:rsidR="00ED0870" w:rsidRDefault="00ED0870" w14:paraId="33FFC3C6" w14:textId="77777777">
      <w:pPr>
        <w:rPr>
          <w:rFonts w:ascii="Verdana" w:hAnsi="Verdana"/>
          <w:sz w:val="21"/>
          <w:szCs w:val="21"/>
        </w:rPr>
      </w:pPr>
    </w:p>
    <w:p w:rsidRPr="00F025A3" w:rsidR="00090A93" w:rsidRDefault="00090A93" w14:paraId="09414384" w14:textId="4447F35E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Each of t</w:t>
      </w:r>
      <w:r w:rsidRPr="00F025A3" w:rsidR="00ED0870">
        <w:rPr>
          <w:rFonts w:ascii="Verdana" w:hAnsi="Verdana"/>
          <w:sz w:val="21"/>
          <w:szCs w:val="21"/>
        </w:rPr>
        <w:t xml:space="preserve">he </w:t>
      </w:r>
      <w:r w:rsidRPr="00F025A3" w:rsidR="002F0548">
        <w:rPr>
          <w:rFonts w:ascii="Verdana" w:hAnsi="Verdana"/>
          <w:sz w:val="21"/>
          <w:szCs w:val="21"/>
        </w:rPr>
        <w:t xml:space="preserve">open </w:t>
      </w:r>
      <w:r w:rsidRPr="00F025A3">
        <w:rPr>
          <w:rFonts w:ascii="Verdana" w:hAnsi="Verdana"/>
          <w:sz w:val="21"/>
          <w:szCs w:val="21"/>
        </w:rPr>
        <w:t xml:space="preserve">sessions </w:t>
      </w:r>
      <w:r w:rsidRPr="00F025A3" w:rsidR="002F0548">
        <w:rPr>
          <w:rFonts w:ascii="Verdana" w:hAnsi="Verdana"/>
          <w:sz w:val="21"/>
          <w:szCs w:val="21"/>
        </w:rPr>
        <w:t xml:space="preserve">(see below) </w:t>
      </w:r>
      <w:r w:rsidRPr="00F025A3">
        <w:rPr>
          <w:rFonts w:ascii="Verdana" w:hAnsi="Verdana"/>
          <w:sz w:val="21"/>
          <w:szCs w:val="21"/>
        </w:rPr>
        <w:t>will:</w:t>
      </w:r>
    </w:p>
    <w:p w:rsidRPr="00F025A3" w:rsidR="00090A93" w:rsidRDefault="00090A93" w14:paraId="36F4E23D" w14:textId="77777777">
      <w:pPr>
        <w:rPr>
          <w:rFonts w:ascii="Verdana" w:hAnsi="Verdana"/>
          <w:sz w:val="21"/>
          <w:szCs w:val="21"/>
        </w:rPr>
      </w:pPr>
    </w:p>
    <w:p w:rsidRPr="00F025A3" w:rsidR="00090A93" w:rsidP="00090A93" w:rsidRDefault="00090A93" w14:paraId="1F7A594E" w14:textId="1C5BC039">
      <w:pPr>
        <w:pStyle w:val="ListParagraph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examine</w:t>
      </w:r>
      <w:r w:rsidRPr="00F025A3" w:rsidR="00ED0870">
        <w:rPr>
          <w:rFonts w:ascii="Verdana" w:hAnsi="Verdana"/>
          <w:sz w:val="21"/>
          <w:szCs w:val="21"/>
        </w:rPr>
        <w:t xml:space="preserve"> evidence on key themes </w:t>
      </w:r>
    </w:p>
    <w:p w:rsidRPr="00F025A3" w:rsidR="00090A93" w:rsidP="00090A93" w:rsidRDefault="00090A93" w14:paraId="743C9DF6" w14:textId="4338B353">
      <w:pPr>
        <w:pStyle w:val="ListParagraph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review global, national and regional best practice</w:t>
      </w:r>
    </w:p>
    <w:p w:rsidRPr="00F025A3" w:rsidR="00090A93" w:rsidP="00090A93" w:rsidRDefault="00090A93" w14:paraId="6B014F65" w14:textId="0ABFA71E">
      <w:pPr>
        <w:pStyle w:val="ListParagraph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develop links between different areas of action to encourage a joined-up approach;</w:t>
      </w:r>
    </w:p>
    <w:p w:rsidRPr="00F025A3" w:rsidR="00090A93" w:rsidP="00090A93" w:rsidRDefault="00090A93" w14:paraId="2C4FC184" w14:textId="07C783D1">
      <w:pPr>
        <w:pStyle w:val="ListParagraph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consider what is being done, what needs to be done, and what more could be done to deliver ambitious climate action in the region; </w:t>
      </w:r>
    </w:p>
    <w:p w:rsidRPr="00F025A3" w:rsidR="00090A93" w:rsidP="00090A93" w:rsidRDefault="00090A93" w14:paraId="24FBC6B3" w14:textId="2568BB2C">
      <w:pPr>
        <w:pStyle w:val="ListParagraph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review stakeh</w:t>
      </w:r>
      <w:r w:rsidRPr="00F025A3" w:rsidR="002F0548">
        <w:rPr>
          <w:rFonts w:ascii="Verdana" w:hAnsi="Verdana"/>
          <w:sz w:val="21"/>
          <w:szCs w:val="21"/>
        </w:rPr>
        <w:t>older perspectives on each theme</w:t>
      </w:r>
      <w:r w:rsidRPr="00F025A3">
        <w:rPr>
          <w:rFonts w:ascii="Verdana" w:hAnsi="Verdana"/>
          <w:sz w:val="21"/>
          <w:szCs w:val="21"/>
        </w:rPr>
        <w:t>, considering the views of government, business and communities/third sector groups;</w:t>
      </w:r>
    </w:p>
    <w:p w:rsidRPr="00F025A3" w:rsidR="00090A93" w:rsidP="00090A93" w:rsidRDefault="00090A93" w14:paraId="757AEC48" w14:textId="0C188D92">
      <w:pPr>
        <w:pStyle w:val="ListParagraph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consider enablers/blockers and capacities for change;</w:t>
      </w:r>
    </w:p>
    <w:p w:rsidRPr="00F025A3" w:rsidR="00090A93" w:rsidP="00090A93" w:rsidRDefault="00090A93" w14:paraId="2F52DCBA" w14:textId="7467384E">
      <w:pPr>
        <w:pStyle w:val="ListParagraph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propose practical actions that can/should be taken and the role that the Commission and other actors can play in promoting these.</w:t>
      </w:r>
    </w:p>
    <w:p w:rsidRPr="00F025A3" w:rsidR="00090A93" w:rsidP="00090A93" w:rsidRDefault="00090A93" w14:paraId="51BD9D82" w14:textId="77777777">
      <w:pPr>
        <w:ind w:left="360"/>
        <w:rPr>
          <w:rFonts w:ascii="Verdana" w:hAnsi="Verdana"/>
          <w:sz w:val="21"/>
          <w:szCs w:val="21"/>
        </w:rPr>
      </w:pPr>
    </w:p>
    <w:p w:rsidRPr="00F025A3" w:rsidR="002F0548" w:rsidRDefault="00090A93" w14:paraId="54729C09" w14:textId="77777777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The draft outputs from the sessions will form the basis for extensive stakeholder engagements and will be fed into government and business </w:t>
      </w:r>
      <w:r w:rsidRPr="00F025A3" w:rsidR="002F0548">
        <w:rPr>
          <w:rFonts w:ascii="Verdana" w:hAnsi="Verdana"/>
          <w:sz w:val="21"/>
          <w:szCs w:val="21"/>
        </w:rPr>
        <w:t>and to the activities of the Commission moving forward</w:t>
      </w:r>
      <w:r w:rsidRPr="00F025A3">
        <w:rPr>
          <w:rFonts w:ascii="Verdana" w:hAnsi="Verdana"/>
          <w:sz w:val="21"/>
          <w:szCs w:val="21"/>
        </w:rPr>
        <w:t xml:space="preserve">. </w:t>
      </w:r>
      <w:r w:rsidRPr="00F025A3" w:rsidR="002F0548">
        <w:rPr>
          <w:rFonts w:ascii="Verdana" w:hAnsi="Verdana"/>
          <w:sz w:val="21"/>
          <w:szCs w:val="21"/>
        </w:rPr>
        <w:t xml:space="preserve"> </w:t>
      </w:r>
    </w:p>
    <w:p w:rsidRPr="00F025A3" w:rsidR="002F0548" w:rsidRDefault="002F0548" w14:paraId="5944AEBB" w14:textId="77777777">
      <w:pPr>
        <w:rPr>
          <w:rFonts w:ascii="Verdana" w:hAnsi="Verdana"/>
          <w:sz w:val="21"/>
          <w:szCs w:val="21"/>
        </w:rPr>
      </w:pPr>
    </w:p>
    <w:p w:rsidRPr="00F025A3" w:rsidR="00ED0870" w:rsidRDefault="002F0548" w14:paraId="54735071" w14:textId="57DC67B9">
      <w:pPr>
        <w:rPr>
          <w:rFonts w:ascii="Verdana" w:hAnsi="Verdana"/>
          <w:b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They will also feed into the ‘State of the Region’ climate action progress review that the Commission is preparing for launch in early 2024. </w:t>
      </w:r>
      <w:r w:rsidRPr="00F025A3" w:rsidR="00090A93">
        <w:rPr>
          <w:rFonts w:ascii="Verdana" w:hAnsi="Verdana"/>
          <w:b/>
          <w:sz w:val="21"/>
          <w:szCs w:val="21"/>
        </w:rPr>
        <w:br w:type="page"/>
      </w:r>
      <w:r w:rsidRPr="00F025A3" w:rsidR="00090A93">
        <w:rPr>
          <w:rFonts w:ascii="Verdana" w:hAnsi="Verdana"/>
          <w:sz w:val="21"/>
          <w:szCs w:val="21"/>
        </w:rPr>
        <w:lastRenderedPageBreak/>
        <w:t xml:space="preserve"> </w:t>
      </w:r>
    </w:p>
    <w:p w:rsidRPr="00F025A3" w:rsidR="006225BB" w:rsidRDefault="00890A35" w14:paraId="280D86ED" w14:textId="095DC001">
      <w:pPr>
        <w:rPr>
          <w:rFonts w:ascii="Verdana" w:hAnsi="Verdana"/>
          <w:b/>
          <w:sz w:val="21"/>
          <w:szCs w:val="21"/>
        </w:rPr>
      </w:pPr>
      <w:r w:rsidRPr="00F025A3">
        <w:rPr>
          <w:rFonts w:ascii="Verdana" w:hAnsi="Verdana"/>
          <w:b/>
          <w:sz w:val="21"/>
          <w:szCs w:val="21"/>
        </w:rPr>
        <w:t>Current</w:t>
      </w:r>
      <w:r w:rsidRPr="00F025A3" w:rsidR="00B9026B">
        <w:rPr>
          <w:rFonts w:ascii="Verdana" w:hAnsi="Verdana"/>
          <w:b/>
          <w:sz w:val="21"/>
          <w:szCs w:val="21"/>
        </w:rPr>
        <w:t xml:space="preserve"> </w:t>
      </w:r>
      <w:r w:rsidRPr="00F025A3">
        <w:rPr>
          <w:rFonts w:ascii="Verdana" w:hAnsi="Verdana"/>
          <w:b/>
          <w:sz w:val="21"/>
          <w:szCs w:val="21"/>
        </w:rPr>
        <w:t>Session Topics and T</w:t>
      </w:r>
      <w:r w:rsidRPr="00F025A3" w:rsidR="00B9026B">
        <w:rPr>
          <w:rFonts w:ascii="Verdana" w:hAnsi="Verdana"/>
          <w:b/>
          <w:sz w:val="21"/>
          <w:szCs w:val="21"/>
        </w:rPr>
        <w:t>imeline</w:t>
      </w:r>
    </w:p>
    <w:p w:rsidRPr="00F025A3" w:rsidR="00B9026B" w:rsidRDefault="00B9026B" w14:paraId="75EA2425" w14:textId="77777777">
      <w:pPr>
        <w:rPr>
          <w:rFonts w:ascii="Verdana" w:hAnsi="Verdana"/>
          <w:sz w:val="21"/>
          <w:szCs w:val="21"/>
        </w:rPr>
      </w:pPr>
    </w:p>
    <w:tbl>
      <w:tblPr>
        <w:tblStyle w:val="GridTable5Dark-Accent1"/>
        <w:tblW w:w="10037" w:type="dxa"/>
        <w:tblLook w:val="04A0" w:firstRow="1" w:lastRow="0" w:firstColumn="1" w:lastColumn="0" w:noHBand="0" w:noVBand="1"/>
      </w:tblPr>
      <w:tblGrid>
        <w:gridCol w:w="1176"/>
        <w:gridCol w:w="1616"/>
        <w:gridCol w:w="1801"/>
        <w:gridCol w:w="1675"/>
        <w:gridCol w:w="1834"/>
        <w:gridCol w:w="1935"/>
      </w:tblGrid>
      <w:tr w:rsidRPr="00F025A3" w:rsidR="00B9026B" w:rsidTr="289FDD84" w14:paraId="6589E0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  <w:hideMark/>
          </w:tcPr>
          <w:p w:rsidRPr="00F025A3" w:rsidR="00B9026B" w:rsidP="00637E8A" w:rsidRDefault="00B9026B" w14:paraId="5CB3570E" w14:textId="77777777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Pr="00F025A3" w:rsidR="00637E8A" w:rsidP="00637E8A" w:rsidRDefault="00637E8A" w14:paraId="5777AE79" w14:textId="77777777">
            <w:pPr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  <w:hideMark/>
          </w:tcPr>
          <w:p w:rsidRPr="00F025A3" w:rsidR="00637E8A" w:rsidP="00637E8A" w:rsidRDefault="00637E8A" w14:paraId="256D3F5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Regional Policy Forum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  <w:hideMark/>
          </w:tcPr>
          <w:p w:rsidRPr="00F025A3" w:rsidR="00637E8A" w:rsidP="00637E8A" w:rsidRDefault="00637E8A" w14:paraId="6B24795F" w14:textId="60B0F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 xml:space="preserve">Climate </w:t>
            </w:r>
            <w:r w:rsidRPr="00F025A3" w:rsidR="00754DAF">
              <w:rPr>
                <w:rFonts w:ascii="Verdana" w:hAnsi="Verdana"/>
                <w:sz w:val="18"/>
                <w:szCs w:val="18"/>
              </w:rPr>
              <w:t xml:space="preserve">Adaptation </w:t>
            </w:r>
            <w:r w:rsidRPr="00F025A3">
              <w:rPr>
                <w:rFonts w:ascii="Verdana" w:hAnsi="Verdana"/>
                <w:sz w:val="18"/>
                <w:szCs w:val="18"/>
              </w:rPr>
              <w:t xml:space="preserve">Resilience </w:t>
            </w:r>
            <w:r w:rsidRPr="00F025A3" w:rsidR="00951706">
              <w:rPr>
                <w:rFonts w:ascii="Verdana" w:hAnsi="Verdana"/>
                <w:sz w:val="18"/>
                <w:szCs w:val="18"/>
              </w:rPr>
              <w:t>Panel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  <w:hideMark/>
          </w:tcPr>
          <w:p w:rsidRPr="00F025A3" w:rsidR="00637E8A" w:rsidP="00637E8A" w:rsidRDefault="00637E8A" w14:paraId="71512041" w14:textId="7FB1E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 xml:space="preserve">Net Zero </w:t>
            </w:r>
            <w:r w:rsidRPr="00F025A3" w:rsidR="00951706">
              <w:rPr>
                <w:rFonts w:ascii="Verdana" w:hAnsi="Verdana"/>
                <w:sz w:val="18"/>
                <w:szCs w:val="18"/>
              </w:rPr>
              <w:t>Panel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  <w:hideMark/>
          </w:tcPr>
          <w:p w:rsidRPr="00F025A3" w:rsidR="00637E8A" w:rsidP="00637E8A" w:rsidRDefault="00637E8A" w14:paraId="504F496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Land, Water, Nature and Food Panel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  <w:hideMark/>
          </w:tcPr>
          <w:p w:rsidRPr="00F025A3" w:rsidR="00637E8A" w:rsidP="00637E8A" w:rsidRDefault="00637E8A" w14:paraId="0CC10FD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Future Economy Panel</w:t>
            </w:r>
          </w:p>
        </w:tc>
      </w:tr>
      <w:tr w:rsidRPr="00F025A3" w:rsidR="00B9026B" w:rsidTr="289FDD84" w14:paraId="4DAEB3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  <w:hideMark/>
          </w:tcPr>
          <w:p w:rsidRPr="00F025A3" w:rsidR="00637E8A" w:rsidP="00637E8A" w:rsidRDefault="00754DAF" w14:paraId="75798B6B" w14:textId="052F5A47">
            <w:pPr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July</w:t>
            </w:r>
            <w:r w:rsidRPr="00F025A3" w:rsidR="00890A35">
              <w:rPr>
                <w:rFonts w:ascii="Verdana" w:hAnsi="Verdana"/>
                <w:sz w:val="18"/>
                <w:szCs w:val="18"/>
              </w:rPr>
              <w:t xml:space="preserve"> 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  <w:hideMark/>
          </w:tcPr>
          <w:p w:rsidRPr="00F025A3" w:rsidR="00637E8A" w:rsidP="00637E8A" w:rsidRDefault="00637E8A" w14:paraId="52E679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  <w:lang w:val="en-US"/>
              </w:rPr>
              <w:t>Fuel poverty, cost of living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  <w:hideMark/>
          </w:tcPr>
          <w:p w:rsidRPr="00F025A3" w:rsidR="00637E8A" w:rsidP="00637E8A" w:rsidRDefault="00890A35" w14:paraId="6EC30C4F" w14:textId="371CD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Session shaping and confirming briefs, speakers etc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</w:tcPr>
          <w:p w:rsidRPr="00F025A3" w:rsidR="00637E8A" w:rsidP="00637E8A" w:rsidRDefault="00890A35" w14:paraId="4BBC1A8D" w14:textId="17B19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Session shaping and confirming briefs, speakers etc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</w:tcPr>
          <w:p w:rsidRPr="00F025A3" w:rsidR="00637E8A" w:rsidP="00637E8A" w:rsidRDefault="00890A35" w14:paraId="0A5363C6" w14:textId="5697C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Session shaping and confirming briefs, speakers etc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  <w:hideMark/>
          </w:tcPr>
          <w:p w:rsidRPr="00F025A3" w:rsidR="00637E8A" w:rsidP="00637E8A" w:rsidRDefault="00890A35" w14:paraId="3C276085" w14:textId="1386F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Session shaping and confirming briefs, speakers etc</w:t>
            </w:r>
          </w:p>
        </w:tc>
      </w:tr>
      <w:tr w:rsidRPr="00F025A3" w:rsidR="00143838" w:rsidTr="289FDD84" w14:paraId="1CD55BA2" w14:textId="77777777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</w:tcPr>
          <w:p w:rsidRPr="00F025A3" w:rsidR="00143838" w:rsidP="00143838" w:rsidRDefault="00143838" w14:paraId="2EA57EDB" w14:textId="4483DC97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Sept 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</w:tcPr>
          <w:p w:rsidRPr="00F025A3" w:rsidR="00143838" w:rsidP="00143838" w:rsidRDefault="00143838" w14:paraId="1E0069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</w:tcPr>
          <w:p w:rsidRPr="00F025A3" w:rsidR="00143838" w:rsidP="00143838" w:rsidRDefault="00143838" w14:paraId="10D1D5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</w:tcPr>
          <w:p w:rsidRPr="00F025A3" w:rsidR="00143838" w:rsidP="00143838" w:rsidRDefault="00143838" w14:paraId="5D04CD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</w:tcPr>
          <w:p w:rsidRPr="00F025A3" w:rsidR="00143838" w:rsidP="00143838" w:rsidRDefault="00143838" w14:paraId="1C5AFC7E" w14:textId="0142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Creating a secure &amp; sustainable regional food system – urban &amp; rural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Pr="00F025A3" w:rsidR="00143838" w:rsidP="00143838" w:rsidRDefault="00143838" w14:paraId="699539C0" w14:textId="6B2EE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Pr="00F025A3" w:rsidR="00143838" w:rsidTr="289FDD84" w14:paraId="6ED50A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  <w:hideMark/>
          </w:tcPr>
          <w:p w:rsidRPr="00F025A3" w:rsidR="00143838" w:rsidP="00143838" w:rsidRDefault="00143838" w14:paraId="423C03C5" w14:textId="3A925C5D">
            <w:pPr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Oct 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  <w:hideMark/>
          </w:tcPr>
          <w:p w:rsidRPr="00F025A3" w:rsidR="00143838" w:rsidP="00143838" w:rsidRDefault="00143838" w14:paraId="13697702" w14:textId="4BB5D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Planning (overview, including adaptation)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  <w:hideMark/>
          </w:tcPr>
          <w:p w:rsidRPr="00F025A3" w:rsidR="00143838" w:rsidP="00143838" w:rsidRDefault="00143838" w14:paraId="5007446B" w14:textId="0CA1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People and communities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  <w:hideMark/>
          </w:tcPr>
          <w:p w:rsidRPr="00F025A3" w:rsidR="00143838" w:rsidP="00143838" w:rsidRDefault="00143838" w14:paraId="41D89BA8" w14:textId="7318A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  <w:lang w:val="en-US"/>
              </w:rPr>
              <w:t>Buildings, retrofit (inc. heritage)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  <w:hideMark/>
          </w:tcPr>
          <w:p w:rsidRPr="00F025A3" w:rsidR="00143838" w:rsidP="00143838" w:rsidRDefault="00143838" w14:paraId="2DD84D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 xml:space="preserve">Nature’s recovery &amp;– Achieving 30:30 and beyond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  <w:hideMark/>
          </w:tcPr>
          <w:p w:rsidRPr="00F025A3" w:rsidR="00143838" w:rsidP="00143838" w:rsidRDefault="00143838" w14:paraId="06216A1B" w14:textId="4650D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 xml:space="preserve">Green jobs and employment including </w:t>
            </w:r>
          </w:p>
          <w:p w:rsidRPr="00F025A3" w:rsidR="00143838" w:rsidP="00143838" w:rsidRDefault="00143838" w14:paraId="5E188C8E" w14:textId="25737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training and skills</w:t>
            </w:r>
          </w:p>
        </w:tc>
      </w:tr>
      <w:tr w:rsidRPr="00F025A3" w:rsidR="00143838" w:rsidTr="289FDD84" w14:paraId="212A7C54" w14:textId="7777777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</w:tcPr>
          <w:p w:rsidRPr="00F025A3" w:rsidR="00143838" w:rsidP="00143838" w:rsidRDefault="00143838" w14:paraId="024E6E93" w14:textId="7D359DCC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Dec 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</w:tcPr>
          <w:p w:rsidRPr="00F025A3" w:rsidR="00143838" w:rsidP="00143838" w:rsidRDefault="00143838" w14:paraId="15F4B9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</w:tcPr>
          <w:p w:rsidRPr="00F025A3" w:rsidR="00143838" w:rsidP="00143838" w:rsidRDefault="00143838" w14:paraId="688B69E4" w14:textId="69E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Health and well-being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</w:tcPr>
          <w:p w:rsidRPr="00F025A3" w:rsidR="00143838" w:rsidP="00143838" w:rsidRDefault="00143838" w14:paraId="476A446B" w14:textId="49A8B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Planning and n</w:t>
            </w:r>
            <w:r w:rsidRPr="00F025A3">
              <w:rPr>
                <w:rFonts w:ascii="Verdana" w:hAnsi="Verdana"/>
                <w:sz w:val="18"/>
                <w:szCs w:val="18"/>
                <w:lang w:val="en-US"/>
              </w:rPr>
              <w:t>ew build standards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</w:tcPr>
          <w:p w:rsidRPr="00F025A3" w:rsidR="00143838" w:rsidP="00143838" w:rsidRDefault="00143838" w14:paraId="52CF889F" w14:textId="6A7F8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Mitigating climate change, net zero &amp; nature-based solutions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Pr="00F025A3" w:rsidR="00143838" w:rsidP="00143838" w:rsidRDefault="00143838" w14:paraId="7EB92E19" w14:textId="2CBBB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SMEs and business support</w:t>
            </w:r>
          </w:p>
        </w:tc>
      </w:tr>
      <w:tr w:rsidRPr="00F025A3" w:rsidR="00143838" w:rsidTr="289FDD84" w14:paraId="75DBEA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  <w:hideMark/>
          </w:tcPr>
          <w:p w:rsidRPr="00F025A3" w:rsidR="00143838" w:rsidP="00143838" w:rsidRDefault="00143838" w14:paraId="7E0219A2" w14:textId="45C8FEEE">
            <w:pPr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Jan/Feb 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  <w:hideMark/>
          </w:tcPr>
          <w:p w:rsidRPr="00F025A3" w:rsidR="00143838" w:rsidP="00143838" w:rsidRDefault="00890A35" w14:paraId="319E6366" w14:textId="09AE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Best Practice &amp; Learning session on a) Climate Comms &amp; Engagement; b) Scope 3 emissions and procurement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  <w:hideMark/>
          </w:tcPr>
          <w:p w:rsidRPr="00F025A3" w:rsidR="00143838" w:rsidP="00143838" w:rsidRDefault="00143838" w14:paraId="24580A29" w14:textId="26C5E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Infrastructure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  <w:hideMark/>
          </w:tcPr>
          <w:p w:rsidRPr="00F025A3" w:rsidR="00143838" w:rsidP="00143838" w:rsidRDefault="00143838" w14:paraId="608A93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Energy – supply side, distribution and CCUS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  <w:hideMark/>
          </w:tcPr>
          <w:p w:rsidRPr="00F025A3" w:rsidR="00143838" w:rsidP="00143838" w:rsidRDefault="00143838" w14:paraId="3F3715A3" w14:textId="00D8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  <w:lang w:val="fr-FR"/>
              </w:rPr>
              <w:t>Cultural adaptation (attitudes, behaviour, communications)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  <w:hideMark/>
          </w:tcPr>
          <w:p w:rsidRPr="00F025A3" w:rsidR="00143838" w:rsidP="00143838" w:rsidRDefault="00143838" w14:paraId="3F45DA7E" w14:textId="03B9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Finance and investment</w:t>
            </w:r>
          </w:p>
        </w:tc>
      </w:tr>
      <w:tr w:rsidRPr="00F025A3" w:rsidR="00143838" w:rsidTr="289FDD84" w14:paraId="59FD0BD2" w14:textId="77777777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  <w:hideMark/>
          </w:tcPr>
          <w:p w:rsidRPr="00F025A3" w:rsidR="00143838" w:rsidP="00143838" w:rsidRDefault="00143838" w14:paraId="10B337A9" w14:textId="62E92919">
            <w:pPr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Mar/Apr 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  <w:hideMark/>
          </w:tcPr>
          <w:p w:rsidRPr="00F025A3" w:rsidR="00143838" w:rsidP="00143838" w:rsidRDefault="00143838" w14:paraId="466AFF2C" w14:textId="04D3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  <w:hideMark/>
          </w:tcPr>
          <w:p w:rsidRPr="00F025A3" w:rsidR="00143838" w:rsidP="00143838" w:rsidRDefault="00143838" w14:paraId="11CC1E58" w14:textId="6014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Business and industry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  <w:hideMark/>
          </w:tcPr>
          <w:p w:rsidRPr="00F025A3" w:rsidR="00143838" w:rsidP="00143838" w:rsidRDefault="00143838" w14:paraId="5EB4C3E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Energy – demand side, storage and distributed renewables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  <w:hideMark/>
          </w:tcPr>
          <w:p w:rsidRPr="00F025A3" w:rsidR="00143838" w:rsidP="00143838" w:rsidRDefault="00143838" w14:paraId="522C83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Nutrient cycles and soil health (water quality)</w:t>
            </w:r>
          </w:p>
          <w:p w:rsidRPr="00F025A3" w:rsidR="00143838" w:rsidP="00143838" w:rsidRDefault="00143838" w14:paraId="57CC35A8" w14:textId="52A0E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  <w:hideMark/>
          </w:tcPr>
          <w:p w:rsidRPr="00F025A3" w:rsidR="00143838" w:rsidP="00143838" w:rsidRDefault="00143838" w14:paraId="50334579" w14:textId="4F38A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Innovation and entrepreneurship</w:t>
            </w:r>
          </w:p>
        </w:tc>
      </w:tr>
      <w:tr w:rsidRPr="00F025A3" w:rsidR="00143838" w:rsidTr="289FDD84" w14:paraId="1DE152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  <w:hideMark/>
          </w:tcPr>
          <w:p w:rsidRPr="00F025A3" w:rsidR="00143838" w:rsidP="00143838" w:rsidRDefault="00143838" w14:paraId="5BBB6176" w14:textId="08E8A41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May/Jun 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  <w:hideMark/>
          </w:tcPr>
          <w:p w:rsidRPr="00F025A3" w:rsidR="00143838" w:rsidP="00143838" w:rsidRDefault="00890A35" w14:paraId="3E96D478" w14:textId="292B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Jobs and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  <w:hideMark/>
          </w:tcPr>
          <w:p w:rsidRPr="00F025A3" w:rsidR="00143838" w:rsidP="00143838" w:rsidRDefault="00143838" w14:paraId="3B61C8F3" w14:textId="631D6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Emergency response &amp; preparedness – part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  <w:hideMark/>
          </w:tcPr>
          <w:p w:rsidRPr="00F025A3" w:rsidR="00143838" w:rsidP="00143838" w:rsidRDefault="00143838" w14:paraId="3166E5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Transport – demand, active, public</w:t>
            </w:r>
          </w:p>
          <w:p w:rsidRPr="00F025A3" w:rsidR="00143838" w:rsidP="00143838" w:rsidRDefault="00143838" w14:paraId="537D381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  <w:hideMark/>
          </w:tcPr>
          <w:p w:rsidRPr="00F025A3" w:rsidR="00143838" w:rsidP="00143838" w:rsidRDefault="00143838" w14:paraId="3F9029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 Water in the landscape (quality, supply)</w:t>
            </w:r>
          </w:p>
          <w:p w:rsidRPr="00F025A3" w:rsidR="00143838" w:rsidP="00143838" w:rsidRDefault="00143838" w14:paraId="14D96625" w14:textId="18937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  <w:hideMark/>
          </w:tcPr>
          <w:p w:rsidRPr="00F025A3" w:rsidR="00143838" w:rsidP="00143838" w:rsidRDefault="00143838" w14:paraId="73304559" w14:textId="133F0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Procurement and supply chains</w:t>
            </w:r>
          </w:p>
        </w:tc>
      </w:tr>
      <w:tr w:rsidRPr="00F025A3" w:rsidR="00143838" w:rsidTr="289FDD84" w14:paraId="3B421258" w14:textId="77777777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  <w:hideMark/>
          </w:tcPr>
          <w:p w:rsidRPr="00F025A3" w:rsidR="00143838" w:rsidP="00143838" w:rsidRDefault="00143838" w14:paraId="6817A980" w14:textId="2F9A314B">
            <w:pPr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Jul/Sept 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  <w:hideMark/>
          </w:tcPr>
          <w:p w:rsidRPr="00F025A3" w:rsidR="00143838" w:rsidP="00143838" w:rsidRDefault="00143838" w14:paraId="056719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 </w:t>
            </w:r>
          </w:p>
          <w:p w:rsidRPr="00F025A3" w:rsidR="00143838" w:rsidP="00143838" w:rsidRDefault="00143838" w14:paraId="5F3DA9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 </w:t>
            </w:r>
          </w:p>
          <w:p w:rsidRPr="00F025A3" w:rsidR="00143838" w:rsidP="00143838" w:rsidRDefault="00143838" w14:paraId="5B9462D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  <w:hideMark/>
          </w:tcPr>
          <w:p w:rsidRPr="00F025A3" w:rsidR="00143838" w:rsidP="00143838" w:rsidRDefault="00143838" w14:paraId="66A0753F" w14:textId="65E7B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Emergency response &amp; preparedness – part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  <w:hideMark/>
          </w:tcPr>
          <w:p w:rsidRPr="00F025A3" w:rsidR="00143838" w:rsidP="00143838" w:rsidRDefault="00143838" w14:paraId="34BED2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Transport – vehicles, freight, aviation and shipping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  <w:hideMark/>
          </w:tcPr>
          <w:p w:rsidRPr="00F025A3" w:rsidR="00143838" w:rsidP="00143838" w:rsidRDefault="00143838" w14:paraId="067EF350" w14:textId="7C210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 Marine considerations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  <w:hideMark/>
          </w:tcPr>
          <w:p w:rsidRPr="00F025A3" w:rsidR="00143838" w:rsidP="00143838" w:rsidRDefault="00143838" w14:paraId="4F48E9E7" w14:textId="27FB4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Logistics and distribution</w:t>
            </w:r>
          </w:p>
        </w:tc>
      </w:tr>
      <w:tr w:rsidRPr="00F025A3" w:rsidR="00143838" w:rsidTr="289FDD84" w14:paraId="4EB04A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Mar/>
            <w:hideMark/>
          </w:tcPr>
          <w:p w:rsidRPr="00F025A3" w:rsidR="00143838" w:rsidP="00143838" w:rsidRDefault="00143838" w14:paraId="70C6821F" w14:textId="4AC2109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Oct/Nov 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6" w:type="dxa"/>
            <w:tcMar/>
            <w:hideMark/>
          </w:tcPr>
          <w:p w:rsidRPr="00F025A3" w:rsidR="00143838" w:rsidP="00143838" w:rsidRDefault="00890A35" w14:paraId="2665CF5B" w14:textId="2DA85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Ecological Emergency and Biodiversity improvements (inc. Planning update)</w:t>
            </w:r>
            <w:r w:rsidRPr="00F025A3" w:rsidR="00143838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1" w:type="dxa"/>
            <w:tcMar/>
            <w:hideMark/>
          </w:tcPr>
          <w:p w:rsidRPr="00F025A3" w:rsidR="00143838" w:rsidP="00143838" w:rsidRDefault="00143838" w14:paraId="2AD0A688" w14:textId="0B08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Land, water, nature, food – overview session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5" w:type="dxa"/>
            <w:tcMar/>
            <w:hideMark/>
          </w:tcPr>
          <w:p w:rsidRPr="00F025A3" w:rsidR="00143838" w:rsidP="00143838" w:rsidRDefault="00143838" w14:paraId="21918C65" w14:textId="04C03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Consumption and behaviours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4" w:type="dxa"/>
            <w:tcMar/>
            <w:hideMark/>
          </w:tcPr>
          <w:p w:rsidRPr="00F025A3" w:rsidR="00143838" w:rsidP="00143838" w:rsidRDefault="00143838" w14:paraId="67C3C220" w14:textId="68DB0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Principles for new development (B&amp;GI)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  <w:hideMark/>
          </w:tcPr>
          <w:p w:rsidRPr="00F025A3" w:rsidR="00143838" w:rsidP="00143838" w:rsidRDefault="00143838" w14:paraId="5BFB31BF" w14:textId="1A1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F025A3">
              <w:rPr>
                <w:rFonts w:ascii="Verdana" w:hAnsi="Verdana"/>
                <w:sz w:val="18"/>
                <w:szCs w:val="18"/>
              </w:rPr>
              <w:t>Circular economy and resource efficiency</w:t>
            </w:r>
          </w:p>
        </w:tc>
      </w:tr>
    </w:tbl>
    <w:p w:rsidRPr="00F025A3" w:rsidR="00852719" w:rsidRDefault="00852719" w14:paraId="1BA21280" w14:textId="3FFE307E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br w:type="page"/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733"/>
        <w:gridCol w:w="2733"/>
        <w:gridCol w:w="1924"/>
        <w:gridCol w:w="2959"/>
      </w:tblGrid>
      <w:tr w:rsidRPr="00F025A3" w:rsidR="00925076" w:rsidTr="000B6EE3" w14:paraId="111264CC" w14:textId="06B8482D">
        <w:tc>
          <w:tcPr>
            <w:tcW w:w="2629" w:type="dxa"/>
          </w:tcPr>
          <w:p w:rsidRPr="00F025A3" w:rsidR="00925076" w:rsidRDefault="00925076" w14:paraId="5F8158AC" w14:textId="5C04067B">
            <w:pPr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  <w:r w:rsidRPr="00F025A3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lastRenderedPageBreak/>
              <w:t>What</w:t>
            </w:r>
          </w:p>
        </w:tc>
        <w:tc>
          <w:tcPr>
            <w:tcW w:w="2412" w:type="dxa"/>
          </w:tcPr>
          <w:p w:rsidRPr="00F025A3" w:rsidR="00925076" w:rsidRDefault="00925076" w14:paraId="0033B806" w14:textId="77777777">
            <w:pPr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  <w:r w:rsidRPr="00F025A3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>Lead</w:t>
            </w:r>
          </w:p>
        </w:tc>
        <w:tc>
          <w:tcPr>
            <w:tcW w:w="2017" w:type="dxa"/>
          </w:tcPr>
          <w:p w:rsidRPr="00F025A3" w:rsidR="00925076" w:rsidRDefault="00925076" w14:paraId="5B27631E" w14:textId="77777777">
            <w:pPr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  <w:r w:rsidRPr="00F025A3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>When</w:t>
            </w:r>
          </w:p>
        </w:tc>
        <w:tc>
          <w:tcPr>
            <w:tcW w:w="3291" w:type="dxa"/>
          </w:tcPr>
          <w:p w:rsidRPr="00F025A3" w:rsidR="00925076" w:rsidRDefault="00925076" w14:paraId="66B59F37" w14:textId="1531F489">
            <w:pPr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</w:pPr>
            <w:r w:rsidRPr="00F025A3">
              <w:rPr>
                <w:rFonts w:ascii="Verdana" w:hAnsi="Verdana"/>
                <w:b/>
                <w:color w:val="000000" w:themeColor="text1"/>
                <w:sz w:val="21"/>
                <w:szCs w:val="21"/>
              </w:rPr>
              <w:t>Why</w:t>
            </w:r>
          </w:p>
        </w:tc>
      </w:tr>
      <w:tr w:rsidRPr="00F025A3" w:rsidR="00925076" w:rsidTr="000B6EE3" w14:paraId="3C4500B1" w14:textId="60A9FC03">
        <w:tc>
          <w:tcPr>
            <w:tcW w:w="2629" w:type="dxa"/>
          </w:tcPr>
          <w:p w:rsidRPr="00F025A3" w:rsidR="00925076" w:rsidRDefault="00925076" w14:paraId="09B1A162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Agree final programme</w:t>
            </w:r>
          </w:p>
        </w:tc>
        <w:tc>
          <w:tcPr>
            <w:tcW w:w="2412" w:type="dxa"/>
          </w:tcPr>
          <w:p w:rsidRPr="00F025A3" w:rsidR="00925076" w:rsidRDefault="00925076" w14:paraId="7E88D3B6" w14:textId="67C77AF8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Commission and Panels</w:t>
            </w:r>
          </w:p>
        </w:tc>
        <w:tc>
          <w:tcPr>
            <w:tcW w:w="2017" w:type="dxa"/>
          </w:tcPr>
          <w:p w:rsidRPr="00F025A3" w:rsidR="00925076" w:rsidRDefault="00925076" w14:paraId="622EE646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June 2022</w:t>
            </w:r>
          </w:p>
        </w:tc>
        <w:tc>
          <w:tcPr>
            <w:tcW w:w="3291" w:type="dxa"/>
          </w:tcPr>
          <w:p w:rsidRPr="00F025A3" w:rsidR="00925076" w:rsidRDefault="00925076" w14:paraId="7435E2AB" w14:textId="399B826D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Provide transparency and enable effective planning and preparation</w:t>
            </w:r>
          </w:p>
        </w:tc>
      </w:tr>
      <w:tr w:rsidRPr="00F025A3" w:rsidR="00925076" w:rsidTr="000B6EE3" w14:paraId="49E62815" w14:textId="5245A352">
        <w:tc>
          <w:tcPr>
            <w:tcW w:w="2629" w:type="dxa"/>
          </w:tcPr>
          <w:p w:rsidRPr="00F025A3" w:rsidR="00925076" w:rsidRDefault="00925076" w14:paraId="3E386A68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Call for evidence reviews</w:t>
            </w:r>
          </w:p>
        </w:tc>
        <w:tc>
          <w:tcPr>
            <w:tcW w:w="2412" w:type="dxa"/>
          </w:tcPr>
          <w:p w:rsidRPr="00F025A3" w:rsidR="00925076" w:rsidRDefault="00925076" w14:paraId="1556E509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Research and Evidence Panel</w:t>
            </w:r>
          </w:p>
        </w:tc>
        <w:tc>
          <w:tcPr>
            <w:tcW w:w="2017" w:type="dxa"/>
          </w:tcPr>
          <w:p w:rsidRPr="00F025A3" w:rsidR="00925076" w:rsidRDefault="00925076" w14:paraId="419D4829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June 2022</w:t>
            </w:r>
          </w:p>
        </w:tc>
        <w:tc>
          <w:tcPr>
            <w:tcW w:w="3291" w:type="dxa"/>
          </w:tcPr>
          <w:p w:rsidRPr="00F025A3" w:rsidR="00925076" w:rsidRDefault="00925076" w14:paraId="54975B87" w14:textId="3C29DC06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Ensure our debates are well informed using most current and relevant research</w:t>
            </w:r>
          </w:p>
        </w:tc>
      </w:tr>
      <w:tr w:rsidRPr="00F025A3" w:rsidR="00925076" w:rsidTr="000B6EE3" w14:paraId="5B9EB6D3" w14:textId="4D9F229C">
        <w:tc>
          <w:tcPr>
            <w:tcW w:w="2629" w:type="dxa"/>
          </w:tcPr>
          <w:p w:rsidRPr="00F025A3" w:rsidR="00925076" w:rsidRDefault="00925076" w14:paraId="1D9C89A5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Speaker nominations and invitations</w:t>
            </w:r>
          </w:p>
        </w:tc>
        <w:tc>
          <w:tcPr>
            <w:tcW w:w="2412" w:type="dxa"/>
          </w:tcPr>
          <w:p w:rsidRPr="00F025A3" w:rsidR="00925076" w:rsidRDefault="00925076" w14:paraId="19593485" w14:textId="3058F9AB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Fora/</w:t>
            </w:r>
            <w:r w:rsidRPr="00F025A3" w:rsidR="00951706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F025A3">
              <w:rPr>
                <w:rFonts w:ascii="Verdana" w:hAnsi="Verdana"/>
                <w:sz w:val="21"/>
                <w:szCs w:val="21"/>
              </w:rPr>
              <w:t>Panels and Secretariat</w:t>
            </w:r>
          </w:p>
        </w:tc>
        <w:tc>
          <w:tcPr>
            <w:tcW w:w="2017" w:type="dxa"/>
          </w:tcPr>
          <w:p w:rsidRPr="00F025A3" w:rsidR="00925076" w:rsidRDefault="00925076" w14:paraId="0E4080ED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3 months in advance of session</w:t>
            </w:r>
          </w:p>
        </w:tc>
        <w:tc>
          <w:tcPr>
            <w:tcW w:w="3291" w:type="dxa"/>
          </w:tcPr>
          <w:p w:rsidRPr="00F025A3" w:rsidR="00925076" w:rsidRDefault="00925076" w14:paraId="6CFF88F8" w14:textId="0AD5A151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secure most appropriate speakers</w:t>
            </w:r>
          </w:p>
        </w:tc>
      </w:tr>
      <w:tr w:rsidRPr="00F025A3" w:rsidR="00925076" w:rsidTr="000B6EE3" w14:paraId="0A5EC8F8" w14:textId="22368B2E">
        <w:tc>
          <w:tcPr>
            <w:tcW w:w="2629" w:type="dxa"/>
          </w:tcPr>
          <w:p w:rsidRPr="00F025A3" w:rsidR="00925076" w:rsidRDefault="00925076" w14:paraId="72D8955D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Invite Commission and Forum/WG/Panel members</w:t>
            </w:r>
          </w:p>
        </w:tc>
        <w:tc>
          <w:tcPr>
            <w:tcW w:w="2412" w:type="dxa"/>
          </w:tcPr>
          <w:p w:rsidRPr="00F025A3" w:rsidR="00925076" w:rsidRDefault="00925076" w14:paraId="79E71362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</w:t>
            </w:r>
          </w:p>
        </w:tc>
        <w:tc>
          <w:tcPr>
            <w:tcW w:w="2017" w:type="dxa"/>
          </w:tcPr>
          <w:p w:rsidRPr="00F025A3" w:rsidR="00925076" w:rsidRDefault="00925076" w14:paraId="30DF8785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2 months in advance of session</w:t>
            </w:r>
          </w:p>
        </w:tc>
        <w:tc>
          <w:tcPr>
            <w:tcW w:w="3291" w:type="dxa"/>
          </w:tcPr>
          <w:p w:rsidRPr="00F025A3" w:rsidR="00925076" w:rsidRDefault="00925076" w14:paraId="21862B92" w14:textId="1377F189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enable members to plan and prepare</w:t>
            </w:r>
          </w:p>
        </w:tc>
      </w:tr>
      <w:tr w:rsidRPr="00F025A3" w:rsidR="00925076" w:rsidTr="000B6EE3" w14:paraId="7244400A" w14:textId="33423AEF">
        <w:tc>
          <w:tcPr>
            <w:tcW w:w="2629" w:type="dxa"/>
          </w:tcPr>
          <w:p w:rsidRPr="00F025A3" w:rsidR="00925076" w:rsidRDefault="00925076" w14:paraId="715088CA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Evidence review received, edited, circulated</w:t>
            </w:r>
          </w:p>
        </w:tc>
        <w:tc>
          <w:tcPr>
            <w:tcW w:w="2412" w:type="dxa"/>
          </w:tcPr>
          <w:p w:rsidRPr="00F025A3" w:rsidR="00925076" w:rsidRDefault="00925076" w14:paraId="399C9E27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</w:t>
            </w:r>
          </w:p>
        </w:tc>
        <w:tc>
          <w:tcPr>
            <w:tcW w:w="2017" w:type="dxa"/>
          </w:tcPr>
          <w:p w:rsidRPr="00F025A3" w:rsidR="00925076" w:rsidRDefault="00925076" w14:paraId="486BFFE1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1 month in advance of session</w:t>
            </w:r>
          </w:p>
        </w:tc>
        <w:tc>
          <w:tcPr>
            <w:tcW w:w="3291" w:type="dxa"/>
          </w:tcPr>
          <w:p w:rsidRPr="00F025A3" w:rsidR="00925076" w:rsidRDefault="00EC050C" w14:paraId="0EDBB3D3" w14:textId="6305DE23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provide members time to review and seek comment from networks</w:t>
            </w:r>
          </w:p>
        </w:tc>
      </w:tr>
      <w:tr w:rsidRPr="00F025A3" w:rsidR="00925076" w:rsidTr="000B6EE3" w14:paraId="7C11E905" w14:textId="1D8E66B1">
        <w:tc>
          <w:tcPr>
            <w:tcW w:w="2629" w:type="dxa"/>
          </w:tcPr>
          <w:p w:rsidRPr="00F025A3" w:rsidR="00925076" w:rsidRDefault="00925076" w14:paraId="3F59AFA7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Chair and speaker briefings</w:t>
            </w:r>
          </w:p>
        </w:tc>
        <w:tc>
          <w:tcPr>
            <w:tcW w:w="2412" w:type="dxa"/>
          </w:tcPr>
          <w:p w:rsidRPr="00F025A3" w:rsidR="00925076" w:rsidRDefault="00925076" w14:paraId="6EB4626C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Co-Directors</w:t>
            </w:r>
          </w:p>
        </w:tc>
        <w:tc>
          <w:tcPr>
            <w:tcW w:w="2017" w:type="dxa"/>
          </w:tcPr>
          <w:p w:rsidRPr="00F025A3" w:rsidR="00925076" w:rsidRDefault="00925076" w14:paraId="1930B163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1 month in advance of session</w:t>
            </w:r>
          </w:p>
        </w:tc>
        <w:tc>
          <w:tcPr>
            <w:tcW w:w="3291" w:type="dxa"/>
          </w:tcPr>
          <w:p w:rsidRPr="00F025A3" w:rsidR="00925076" w:rsidRDefault="00EC050C" w14:paraId="7B066140" w14:textId="1F2F625D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provide plenty of planning time</w:t>
            </w:r>
          </w:p>
        </w:tc>
      </w:tr>
      <w:tr w:rsidRPr="00F025A3" w:rsidR="00925076" w:rsidTr="000B6EE3" w14:paraId="7F294F64" w14:textId="3ECDC2FF">
        <w:tc>
          <w:tcPr>
            <w:tcW w:w="2629" w:type="dxa"/>
          </w:tcPr>
          <w:p w:rsidRPr="00F025A3" w:rsidR="00925076" w:rsidRDefault="00925076" w14:paraId="56255EA6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Session planning and logistics</w:t>
            </w:r>
          </w:p>
        </w:tc>
        <w:tc>
          <w:tcPr>
            <w:tcW w:w="2412" w:type="dxa"/>
          </w:tcPr>
          <w:p w:rsidRPr="00F025A3" w:rsidR="00925076" w:rsidRDefault="00925076" w14:paraId="72ACEDA1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</w:t>
            </w:r>
          </w:p>
        </w:tc>
        <w:tc>
          <w:tcPr>
            <w:tcW w:w="2017" w:type="dxa"/>
          </w:tcPr>
          <w:p w:rsidRPr="00F025A3" w:rsidR="00925076" w:rsidRDefault="00925076" w14:paraId="6F2525D5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1 month in advance of session</w:t>
            </w:r>
          </w:p>
        </w:tc>
        <w:tc>
          <w:tcPr>
            <w:tcW w:w="3291" w:type="dxa"/>
          </w:tcPr>
          <w:p w:rsidRPr="00F025A3" w:rsidR="00925076" w:rsidRDefault="00EC050C" w14:paraId="76BE7618" w14:textId="617B9E9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support Chairs with smoothly run sessions</w:t>
            </w:r>
          </w:p>
        </w:tc>
      </w:tr>
      <w:tr w:rsidRPr="00F025A3" w:rsidR="00925076" w:rsidTr="000B6EE3" w14:paraId="626D520D" w14:textId="03C55F2C">
        <w:tc>
          <w:tcPr>
            <w:tcW w:w="10349" w:type="dxa"/>
            <w:gridSpan w:val="4"/>
          </w:tcPr>
          <w:p w:rsidRPr="00F025A3" w:rsidR="00925076" w:rsidP="000B6EE3" w:rsidRDefault="00925076" w14:paraId="30087C2B" w14:textId="77777777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:rsidRPr="00F025A3" w:rsidR="00925076" w:rsidP="00925076" w:rsidRDefault="00925076" w14:paraId="45E0D68D" w14:textId="50905343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F025A3">
              <w:rPr>
                <w:rFonts w:ascii="Verdana" w:hAnsi="Verdana"/>
                <w:b/>
                <w:sz w:val="21"/>
                <w:szCs w:val="21"/>
              </w:rPr>
              <w:t>Delivering Impact Session</w:t>
            </w:r>
          </w:p>
        </w:tc>
      </w:tr>
      <w:tr w:rsidRPr="00F025A3" w:rsidR="00925076" w:rsidTr="000B6EE3" w14:paraId="3B8E7217" w14:textId="5D93C892">
        <w:tc>
          <w:tcPr>
            <w:tcW w:w="2629" w:type="dxa"/>
          </w:tcPr>
          <w:p w:rsidRPr="00F025A3" w:rsidR="00925076" w:rsidRDefault="00925076" w14:paraId="16F198AA" w14:textId="32C865AE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Draft </w:t>
            </w:r>
            <w:r w:rsidRPr="00F025A3" w:rsidR="00324578">
              <w:rPr>
                <w:rFonts w:ascii="Verdana" w:hAnsi="Verdana"/>
                <w:sz w:val="21"/>
                <w:szCs w:val="21"/>
              </w:rPr>
              <w:t xml:space="preserve">position paper </w:t>
            </w:r>
            <w:r w:rsidRPr="00F025A3">
              <w:rPr>
                <w:rFonts w:ascii="Verdana" w:hAnsi="Verdana"/>
                <w:sz w:val="21"/>
                <w:szCs w:val="21"/>
              </w:rPr>
              <w:t>produced</w:t>
            </w:r>
          </w:p>
        </w:tc>
        <w:tc>
          <w:tcPr>
            <w:tcW w:w="2412" w:type="dxa"/>
          </w:tcPr>
          <w:p w:rsidRPr="00F025A3" w:rsidR="00925076" w:rsidRDefault="00925076" w14:paraId="4D7A605D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 and Co-Directors</w:t>
            </w:r>
          </w:p>
        </w:tc>
        <w:tc>
          <w:tcPr>
            <w:tcW w:w="2017" w:type="dxa"/>
          </w:tcPr>
          <w:p w:rsidRPr="00F025A3" w:rsidR="00925076" w:rsidRDefault="00925076" w14:paraId="6ACFA8DF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Within 2 weeks of session</w:t>
            </w:r>
          </w:p>
        </w:tc>
        <w:tc>
          <w:tcPr>
            <w:tcW w:w="3291" w:type="dxa"/>
          </w:tcPr>
          <w:p w:rsidRPr="00F025A3" w:rsidR="00925076" w:rsidRDefault="00EC050C" w14:paraId="098271B8" w14:textId="65F0FB68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provide a record of the key considerations made, conclusions, and recommendations/actions identified</w:t>
            </w:r>
          </w:p>
        </w:tc>
      </w:tr>
      <w:tr w:rsidRPr="00F025A3" w:rsidR="00925076" w:rsidTr="000B6EE3" w14:paraId="56EEE110" w14:textId="6C5149CD">
        <w:tc>
          <w:tcPr>
            <w:tcW w:w="2629" w:type="dxa"/>
          </w:tcPr>
          <w:p w:rsidRPr="00F025A3" w:rsidR="00925076" w:rsidRDefault="00925076" w14:paraId="62BBB897" w14:textId="4CF1882C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Draft </w:t>
            </w:r>
            <w:r w:rsidRPr="00F025A3" w:rsidR="00324578">
              <w:rPr>
                <w:rFonts w:ascii="Verdana" w:hAnsi="Verdana"/>
                <w:sz w:val="21"/>
                <w:szCs w:val="21"/>
              </w:rPr>
              <w:t xml:space="preserve">position paper </w:t>
            </w:r>
            <w:r w:rsidRPr="00F025A3">
              <w:rPr>
                <w:rFonts w:ascii="Verdana" w:hAnsi="Verdana"/>
                <w:sz w:val="21"/>
                <w:szCs w:val="21"/>
              </w:rPr>
              <w:t>and proposed actions reviewed</w:t>
            </w:r>
          </w:p>
        </w:tc>
        <w:tc>
          <w:tcPr>
            <w:tcW w:w="2412" w:type="dxa"/>
          </w:tcPr>
          <w:p w:rsidRPr="00F025A3" w:rsidR="00925076" w:rsidRDefault="00EC050C" w14:paraId="56A569B2" w14:textId="3D8E8490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Commission/Leadership Group and Fora/Panels </w:t>
            </w:r>
          </w:p>
        </w:tc>
        <w:tc>
          <w:tcPr>
            <w:tcW w:w="2017" w:type="dxa"/>
          </w:tcPr>
          <w:p w:rsidRPr="00F025A3" w:rsidR="00925076" w:rsidRDefault="00925076" w14:paraId="22D4C0A3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Within 6 weeks of session</w:t>
            </w:r>
          </w:p>
        </w:tc>
        <w:tc>
          <w:tcPr>
            <w:tcW w:w="3291" w:type="dxa"/>
          </w:tcPr>
          <w:p w:rsidRPr="00F025A3" w:rsidR="00925076" w:rsidRDefault="00EC050C" w14:paraId="058932E4" w14:textId="2E87EB91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provide consistency in approach and mitigate potential reputational risks</w:t>
            </w:r>
          </w:p>
        </w:tc>
      </w:tr>
      <w:tr w:rsidRPr="00F025A3" w:rsidR="00925076" w:rsidTr="000B6EE3" w14:paraId="5D852B0C" w14:textId="7B71FA37">
        <w:tc>
          <w:tcPr>
            <w:tcW w:w="2629" w:type="dxa"/>
          </w:tcPr>
          <w:p w:rsidRPr="00F025A3" w:rsidR="00925076" w:rsidRDefault="00925076" w14:paraId="253D1754" w14:textId="6901D028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Draft </w:t>
            </w:r>
            <w:r w:rsidRPr="00F025A3" w:rsidR="00324578">
              <w:rPr>
                <w:rFonts w:ascii="Verdana" w:hAnsi="Verdana"/>
                <w:sz w:val="21"/>
                <w:szCs w:val="21"/>
              </w:rPr>
              <w:t xml:space="preserve">position paper </w:t>
            </w:r>
            <w:r w:rsidRPr="00F025A3">
              <w:rPr>
                <w:rFonts w:ascii="Verdana" w:hAnsi="Verdana"/>
                <w:sz w:val="21"/>
                <w:szCs w:val="21"/>
              </w:rPr>
              <w:t>and actions amended following comments and circulated to Commission/Leadership Group and to Fora/WG/Panel Chairs</w:t>
            </w:r>
          </w:p>
        </w:tc>
        <w:tc>
          <w:tcPr>
            <w:tcW w:w="2412" w:type="dxa"/>
          </w:tcPr>
          <w:p w:rsidRPr="00F025A3" w:rsidR="00925076" w:rsidRDefault="00925076" w14:paraId="33B4B64D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</w:t>
            </w:r>
          </w:p>
        </w:tc>
        <w:tc>
          <w:tcPr>
            <w:tcW w:w="2017" w:type="dxa"/>
          </w:tcPr>
          <w:p w:rsidRPr="00F025A3" w:rsidR="00925076" w:rsidRDefault="00925076" w14:paraId="36C27812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Within 2 weeks of receipt of comments</w:t>
            </w:r>
          </w:p>
        </w:tc>
        <w:tc>
          <w:tcPr>
            <w:tcW w:w="3291" w:type="dxa"/>
          </w:tcPr>
          <w:p w:rsidRPr="00F025A3" w:rsidR="00925076" w:rsidRDefault="00EC050C" w14:paraId="5E990252" w14:textId="6A4D5659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For transparency and awareness</w:t>
            </w:r>
          </w:p>
        </w:tc>
      </w:tr>
      <w:tr w:rsidRPr="00F025A3" w:rsidR="00925076" w:rsidTr="000B6EE3" w14:paraId="2E34E8CE" w14:textId="2EFAE4D3">
        <w:tc>
          <w:tcPr>
            <w:tcW w:w="2629" w:type="dxa"/>
          </w:tcPr>
          <w:p w:rsidRPr="00F025A3" w:rsidR="00925076" w:rsidRDefault="00925076" w14:paraId="58D14366" w14:textId="2E4E825C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Draft </w:t>
            </w:r>
            <w:r w:rsidRPr="00F025A3" w:rsidR="00324578">
              <w:rPr>
                <w:rFonts w:ascii="Verdana" w:hAnsi="Verdana"/>
                <w:sz w:val="21"/>
                <w:szCs w:val="21"/>
              </w:rPr>
              <w:t xml:space="preserve">position paper </w:t>
            </w:r>
            <w:r w:rsidRPr="00F025A3" w:rsidR="00063601">
              <w:rPr>
                <w:rFonts w:ascii="Verdana" w:hAnsi="Verdana"/>
                <w:sz w:val="21"/>
                <w:szCs w:val="21"/>
              </w:rPr>
              <w:t>supported</w:t>
            </w:r>
            <w:r w:rsidRPr="00F025A3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412" w:type="dxa"/>
          </w:tcPr>
          <w:p w:rsidRPr="00F025A3" w:rsidR="00925076" w:rsidRDefault="00925076" w14:paraId="6F138A4D" w14:textId="1264405B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Co-Directors, Commission Chair, Fora/Panel Chairs</w:t>
            </w:r>
          </w:p>
        </w:tc>
        <w:tc>
          <w:tcPr>
            <w:tcW w:w="2017" w:type="dxa"/>
          </w:tcPr>
          <w:p w:rsidRPr="00F025A3" w:rsidR="00925076" w:rsidRDefault="00925076" w14:paraId="5BAD9B8A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Within 2 weeks of receipt of amended version</w:t>
            </w:r>
          </w:p>
        </w:tc>
        <w:tc>
          <w:tcPr>
            <w:tcW w:w="3291" w:type="dxa"/>
          </w:tcPr>
          <w:p w:rsidRPr="00F025A3" w:rsidR="00925076" w:rsidRDefault="00F30176" w14:paraId="6A292EBE" w14:textId="4BE47E26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For transparency &amp; visibility</w:t>
            </w:r>
          </w:p>
        </w:tc>
      </w:tr>
      <w:tr w:rsidRPr="00F025A3" w:rsidR="00925076" w:rsidTr="000B6EE3" w14:paraId="791E38CD" w14:textId="48F322CA">
        <w:tc>
          <w:tcPr>
            <w:tcW w:w="2629" w:type="dxa"/>
          </w:tcPr>
          <w:p w:rsidRPr="00F025A3" w:rsidR="00925076" w:rsidRDefault="00925076" w14:paraId="3ED4015A" w14:textId="14EBDA6B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Agreed </w:t>
            </w:r>
            <w:r w:rsidRPr="00F025A3" w:rsidR="00324578">
              <w:rPr>
                <w:rFonts w:ascii="Verdana" w:hAnsi="Verdana"/>
                <w:sz w:val="21"/>
                <w:szCs w:val="21"/>
              </w:rPr>
              <w:t xml:space="preserve">position paper </w:t>
            </w:r>
            <w:r w:rsidRPr="00F025A3">
              <w:rPr>
                <w:rFonts w:ascii="Verdana" w:hAnsi="Verdana"/>
                <w:sz w:val="21"/>
                <w:szCs w:val="21"/>
              </w:rPr>
              <w:t>and actions fed into Regional Policy/National Policy Fora</w:t>
            </w:r>
          </w:p>
        </w:tc>
        <w:tc>
          <w:tcPr>
            <w:tcW w:w="2412" w:type="dxa"/>
          </w:tcPr>
          <w:p w:rsidRPr="00F025A3" w:rsidR="00925076" w:rsidRDefault="00925076" w14:paraId="66449D5B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 and Fora Chairs</w:t>
            </w:r>
          </w:p>
        </w:tc>
        <w:tc>
          <w:tcPr>
            <w:tcW w:w="2017" w:type="dxa"/>
          </w:tcPr>
          <w:p w:rsidRPr="00F025A3" w:rsidR="00925076" w:rsidRDefault="000B6EE3" w14:paraId="715586B8" w14:textId="09D05D6B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At the next available Forum meeting</w:t>
            </w:r>
          </w:p>
        </w:tc>
        <w:tc>
          <w:tcPr>
            <w:tcW w:w="3291" w:type="dxa"/>
          </w:tcPr>
          <w:p w:rsidRPr="00F025A3" w:rsidR="00925076" w:rsidRDefault="00F30176" w14:paraId="328A6B36" w14:textId="209E3FE3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To increase awareness of key issues and support/enable climate action </w:t>
            </w:r>
            <w:r w:rsidRPr="00F025A3" w:rsidR="00670B3F">
              <w:rPr>
                <w:rFonts w:ascii="Verdana" w:hAnsi="Verdana"/>
                <w:sz w:val="21"/>
                <w:szCs w:val="21"/>
              </w:rPr>
              <w:t>across local/national government</w:t>
            </w:r>
          </w:p>
        </w:tc>
      </w:tr>
      <w:tr w:rsidRPr="00F025A3" w:rsidR="00925076" w:rsidTr="000B6EE3" w14:paraId="0E296D01" w14:textId="033FC991">
        <w:tc>
          <w:tcPr>
            <w:tcW w:w="2629" w:type="dxa"/>
          </w:tcPr>
          <w:p w:rsidRPr="00F025A3" w:rsidR="00925076" w:rsidRDefault="00925076" w14:paraId="17760956" w14:textId="3726E9ED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Agreed </w:t>
            </w:r>
            <w:r w:rsidRPr="00F025A3" w:rsidR="00324578">
              <w:rPr>
                <w:rFonts w:ascii="Verdana" w:hAnsi="Verdana"/>
                <w:sz w:val="21"/>
                <w:szCs w:val="21"/>
              </w:rPr>
              <w:t xml:space="preserve">position paper </w:t>
            </w:r>
            <w:r w:rsidRPr="00F025A3">
              <w:rPr>
                <w:rFonts w:ascii="Verdana" w:hAnsi="Verdana"/>
                <w:sz w:val="21"/>
                <w:szCs w:val="21"/>
              </w:rPr>
              <w:t xml:space="preserve">and actions fed into Climate </w:t>
            </w:r>
            <w:r w:rsidRPr="00F025A3" w:rsidR="000B6EE3">
              <w:rPr>
                <w:rFonts w:ascii="Verdana" w:hAnsi="Verdana"/>
                <w:sz w:val="21"/>
                <w:szCs w:val="21"/>
              </w:rPr>
              <w:t>Pledge Signatories Group</w:t>
            </w:r>
          </w:p>
        </w:tc>
        <w:tc>
          <w:tcPr>
            <w:tcW w:w="2412" w:type="dxa"/>
          </w:tcPr>
          <w:p w:rsidRPr="00F025A3" w:rsidR="00925076" w:rsidRDefault="00925076" w14:paraId="2650DB45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 and Co-Directors</w:t>
            </w:r>
          </w:p>
        </w:tc>
        <w:tc>
          <w:tcPr>
            <w:tcW w:w="2017" w:type="dxa"/>
          </w:tcPr>
          <w:p w:rsidRPr="00F025A3" w:rsidR="00925076" w:rsidRDefault="00925076" w14:paraId="06F8B44C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Within 3 months of session</w:t>
            </w:r>
          </w:p>
        </w:tc>
        <w:tc>
          <w:tcPr>
            <w:tcW w:w="3291" w:type="dxa"/>
          </w:tcPr>
          <w:p w:rsidRPr="00F025A3" w:rsidR="00925076" w:rsidRDefault="00670B3F" w14:paraId="41247613" w14:textId="587D7E9A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increase awareness of key issues and support/enable climate action across in the private sector</w:t>
            </w:r>
          </w:p>
        </w:tc>
      </w:tr>
      <w:tr w:rsidRPr="00F025A3" w:rsidR="00925076" w:rsidTr="000B6EE3" w14:paraId="00597C4B" w14:textId="2ED28BCD">
        <w:tc>
          <w:tcPr>
            <w:tcW w:w="2629" w:type="dxa"/>
          </w:tcPr>
          <w:p w:rsidRPr="00F025A3" w:rsidR="00925076" w:rsidRDefault="00925076" w14:paraId="664764FA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lastRenderedPageBreak/>
              <w:t>Evidence briefing, session videos, agreed commentary and actions posted on on-line consultation platform</w:t>
            </w:r>
          </w:p>
        </w:tc>
        <w:tc>
          <w:tcPr>
            <w:tcW w:w="2412" w:type="dxa"/>
          </w:tcPr>
          <w:p w:rsidRPr="00F025A3" w:rsidR="00925076" w:rsidRDefault="00925076" w14:paraId="5BF9ABB4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</w:t>
            </w:r>
          </w:p>
        </w:tc>
        <w:tc>
          <w:tcPr>
            <w:tcW w:w="2017" w:type="dxa"/>
          </w:tcPr>
          <w:p w:rsidRPr="00F025A3" w:rsidR="00925076" w:rsidRDefault="00925076" w14:paraId="143CECEA" w14:textId="30E9EF8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Within </w:t>
            </w:r>
            <w:r w:rsidRPr="00F025A3" w:rsidR="00670B3F">
              <w:rPr>
                <w:rFonts w:ascii="Verdana" w:hAnsi="Verdana"/>
                <w:sz w:val="21"/>
                <w:szCs w:val="21"/>
              </w:rPr>
              <w:t>1 month of securing support (from Co-Directors, Commission Chair, Fora/WGs/Panel Chairs as appropriate)</w:t>
            </w:r>
          </w:p>
        </w:tc>
        <w:tc>
          <w:tcPr>
            <w:tcW w:w="3291" w:type="dxa"/>
          </w:tcPr>
          <w:p w:rsidRPr="00F025A3" w:rsidR="00925076" w:rsidRDefault="00670B3F" w14:paraId="5E49FA3B" w14:textId="437EE824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ensure timely and full public engagement</w:t>
            </w:r>
          </w:p>
        </w:tc>
      </w:tr>
      <w:tr w:rsidRPr="00F025A3" w:rsidR="00925076" w:rsidTr="000B6EE3" w14:paraId="6890587E" w14:textId="5711A391">
        <w:tc>
          <w:tcPr>
            <w:tcW w:w="2629" w:type="dxa"/>
          </w:tcPr>
          <w:p w:rsidRPr="00F025A3" w:rsidR="00925076" w:rsidRDefault="00925076" w14:paraId="0401EDF7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Supporting comms for on-line consultations</w:t>
            </w:r>
          </w:p>
        </w:tc>
        <w:tc>
          <w:tcPr>
            <w:tcW w:w="2412" w:type="dxa"/>
          </w:tcPr>
          <w:p w:rsidRPr="00F025A3" w:rsidR="00925076" w:rsidRDefault="00925076" w14:paraId="5912D05B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</w:t>
            </w:r>
          </w:p>
        </w:tc>
        <w:tc>
          <w:tcPr>
            <w:tcW w:w="2017" w:type="dxa"/>
          </w:tcPr>
          <w:p w:rsidRPr="00F025A3" w:rsidR="00925076" w:rsidRDefault="00670B3F" w14:paraId="41D0210A" w14:textId="1996D155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Ongoing through process</w:t>
            </w:r>
          </w:p>
        </w:tc>
        <w:tc>
          <w:tcPr>
            <w:tcW w:w="3291" w:type="dxa"/>
          </w:tcPr>
          <w:p w:rsidRPr="00F025A3" w:rsidR="00925076" w:rsidRDefault="00670B3F" w14:paraId="5ABCCE5C" w14:textId="02571EAF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ensure all are aware and able to promote engagement through their networks</w:t>
            </w:r>
          </w:p>
        </w:tc>
      </w:tr>
      <w:tr w:rsidRPr="00F025A3" w:rsidR="00670B3F" w:rsidTr="000B6EE3" w14:paraId="01B3F1EE" w14:textId="184593B7">
        <w:trPr>
          <w:trHeight w:val="215"/>
        </w:trPr>
        <w:tc>
          <w:tcPr>
            <w:tcW w:w="10349" w:type="dxa"/>
            <w:gridSpan w:val="4"/>
          </w:tcPr>
          <w:p w:rsidRPr="00F025A3" w:rsidR="00670B3F" w:rsidP="00C968BB" w:rsidRDefault="00670B3F" w14:paraId="7583C7CC" w14:textId="7777777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Pr="00F025A3" w:rsidR="00670B3F" w:rsidP="00C968BB" w:rsidRDefault="00670B3F" w14:paraId="4040835C" w14:textId="14615843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F025A3">
              <w:rPr>
                <w:rFonts w:ascii="Verdana" w:hAnsi="Verdana"/>
                <w:b/>
                <w:sz w:val="21"/>
                <w:szCs w:val="21"/>
              </w:rPr>
              <w:t>6-week consultation period</w:t>
            </w:r>
          </w:p>
        </w:tc>
      </w:tr>
      <w:tr w:rsidRPr="00F025A3" w:rsidR="00925076" w:rsidTr="000B6EE3" w14:paraId="7FB06665" w14:textId="05FC3CE3">
        <w:tc>
          <w:tcPr>
            <w:tcW w:w="2629" w:type="dxa"/>
          </w:tcPr>
          <w:p w:rsidRPr="00F025A3" w:rsidR="00925076" w:rsidP="005C387F" w:rsidRDefault="00925076" w14:paraId="6F54E970" w14:textId="1955F63B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Feedback processed and revised </w:t>
            </w:r>
            <w:r w:rsidRPr="00F025A3" w:rsidR="00324578">
              <w:rPr>
                <w:rFonts w:ascii="Verdana" w:hAnsi="Verdana"/>
                <w:sz w:val="21"/>
                <w:szCs w:val="21"/>
              </w:rPr>
              <w:t xml:space="preserve">position paper </w:t>
            </w:r>
            <w:r w:rsidRPr="00F025A3">
              <w:rPr>
                <w:rFonts w:ascii="Verdana" w:hAnsi="Verdana"/>
                <w:sz w:val="21"/>
                <w:szCs w:val="21"/>
              </w:rPr>
              <w:t>and actions produced</w:t>
            </w:r>
          </w:p>
        </w:tc>
        <w:tc>
          <w:tcPr>
            <w:tcW w:w="2412" w:type="dxa"/>
          </w:tcPr>
          <w:p w:rsidRPr="00F025A3" w:rsidR="00925076" w:rsidP="005C387F" w:rsidRDefault="00925076" w14:paraId="278C4D73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 and Co-Directors</w:t>
            </w:r>
          </w:p>
        </w:tc>
        <w:tc>
          <w:tcPr>
            <w:tcW w:w="2017" w:type="dxa"/>
          </w:tcPr>
          <w:p w:rsidRPr="00F025A3" w:rsidR="00925076" w:rsidP="005C387F" w:rsidRDefault="00925076" w14:paraId="4C840493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Within 1 month of consultation period closing</w:t>
            </w:r>
          </w:p>
        </w:tc>
        <w:tc>
          <w:tcPr>
            <w:tcW w:w="3291" w:type="dxa"/>
          </w:tcPr>
          <w:p w:rsidRPr="00F025A3" w:rsidR="00925076" w:rsidP="005C387F" w:rsidRDefault="00BF375C" w14:paraId="38B8897C" w14:textId="0FFBE514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ensure timely progress and completion of process</w:t>
            </w:r>
          </w:p>
        </w:tc>
      </w:tr>
      <w:tr w:rsidRPr="00F025A3" w:rsidR="00925076" w:rsidTr="000B6EE3" w14:paraId="447CE9B5" w14:textId="1A7F3CA8">
        <w:tc>
          <w:tcPr>
            <w:tcW w:w="2629" w:type="dxa"/>
          </w:tcPr>
          <w:p w:rsidRPr="00F025A3" w:rsidR="00925076" w:rsidP="005C387F" w:rsidRDefault="00925076" w14:paraId="2D553F95" w14:textId="11D405FC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Revised </w:t>
            </w:r>
            <w:r w:rsidRPr="00F025A3" w:rsidR="00324578">
              <w:rPr>
                <w:rFonts w:ascii="Verdana" w:hAnsi="Verdana"/>
                <w:sz w:val="21"/>
                <w:szCs w:val="21"/>
              </w:rPr>
              <w:t xml:space="preserve">position paper </w:t>
            </w:r>
            <w:r w:rsidRPr="00F025A3">
              <w:rPr>
                <w:rFonts w:ascii="Verdana" w:hAnsi="Verdana"/>
                <w:sz w:val="21"/>
                <w:szCs w:val="21"/>
              </w:rPr>
              <w:t xml:space="preserve">and actions reviewed </w:t>
            </w:r>
          </w:p>
        </w:tc>
        <w:tc>
          <w:tcPr>
            <w:tcW w:w="2412" w:type="dxa"/>
          </w:tcPr>
          <w:p w:rsidRPr="00F025A3" w:rsidR="00925076" w:rsidP="005C387F" w:rsidRDefault="00BF375C" w14:paraId="3A74F997" w14:textId="79603731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Commission/Leadership Group and relevant Fora/Panel</w:t>
            </w:r>
          </w:p>
        </w:tc>
        <w:tc>
          <w:tcPr>
            <w:tcW w:w="2017" w:type="dxa"/>
          </w:tcPr>
          <w:p w:rsidRPr="00F025A3" w:rsidR="00925076" w:rsidP="005C387F" w:rsidRDefault="00925076" w14:paraId="3497F41E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Within 2 months of consultation period closing</w:t>
            </w:r>
          </w:p>
        </w:tc>
        <w:tc>
          <w:tcPr>
            <w:tcW w:w="3291" w:type="dxa"/>
          </w:tcPr>
          <w:p w:rsidRPr="00F025A3" w:rsidR="00925076" w:rsidP="005C387F" w:rsidRDefault="00BF375C" w14:paraId="1E46AE02" w14:textId="1F7019BF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maintain ownership and provide transparency &amp; visibility</w:t>
            </w:r>
          </w:p>
        </w:tc>
      </w:tr>
      <w:tr w:rsidRPr="00F025A3" w:rsidR="00925076" w:rsidTr="000B6EE3" w14:paraId="6E990045" w14:textId="188E4651">
        <w:tc>
          <w:tcPr>
            <w:tcW w:w="2629" w:type="dxa"/>
          </w:tcPr>
          <w:p w:rsidRPr="00F025A3" w:rsidR="00925076" w:rsidP="005C387F" w:rsidRDefault="00925076" w14:paraId="071E912F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Final revisions </w:t>
            </w:r>
          </w:p>
        </w:tc>
        <w:tc>
          <w:tcPr>
            <w:tcW w:w="2412" w:type="dxa"/>
          </w:tcPr>
          <w:p w:rsidRPr="00F025A3" w:rsidR="00925076" w:rsidP="005C387F" w:rsidRDefault="00925076" w14:paraId="3AB4760A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Secretariat and Co-Directors</w:t>
            </w:r>
          </w:p>
        </w:tc>
        <w:tc>
          <w:tcPr>
            <w:tcW w:w="2017" w:type="dxa"/>
          </w:tcPr>
          <w:p w:rsidRPr="00F025A3" w:rsidR="00925076" w:rsidP="005C387F" w:rsidRDefault="00925076" w14:paraId="38213FCA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Within 2 weeks of receipt of final comments </w:t>
            </w:r>
          </w:p>
        </w:tc>
        <w:tc>
          <w:tcPr>
            <w:tcW w:w="3291" w:type="dxa"/>
          </w:tcPr>
          <w:p w:rsidRPr="00F025A3" w:rsidR="00925076" w:rsidP="005C387F" w:rsidRDefault="00BF375C" w14:paraId="252C3EC2" w14:textId="3C05B4CC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provide a ‘single voice’ through the reports</w:t>
            </w:r>
          </w:p>
        </w:tc>
      </w:tr>
      <w:tr w:rsidRPr="00F025A3" w:rsidR="00925076" w:rsidTr="000B6EE3" w14:paraId="0A710E83" w14:textId="2D706E32">
        <w:tc>
          <w:tcPr>
            <w:tcW w:w="2629" w:type="dxa"/>
          </w:tcPr>
          <w:p w:rsidRPr="00F025A3" w:rsidR="00925076" w:rsidP="005C387F" w:rsidRDefault="00925076" w14:paraId="7EAC59BD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 xml:space="preserve">Final version sign-off </w:t>
            </w:r>
          </w:p>
        </w:tc>
        <w:tc>
          <w:tcPr>
            <w:tcW w:w="2412" w:type="dxa"/>
          </w:tcPr>
          <w:p w:rsidRPr="00F025A3" w:rsidR="00925076" w:rsidP="005C387F" w:rsidRDefault="00925076" w14:paraId="34FB9F79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Chair and Co-Directors</w:t>
            </w:r>
          </w:p>
        </w:tc>
        <w:tc>
          <w:tcPr>
            <w:tcW w:w="2017" w:type="dxa"/>
          </w:tcPr>
          <w:p w:rsidRPr="00F025A3" w:rsidR="00925076" w:rsidP="005C387F" w:rsidRDefault="00925076" w14:paraId="3421A984" w14:textId="77777777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Within 3 months of consultation process closing</w:t>
            </w:r>
          </w:p>
        </w:tc>
        <w:tc>
          <w:tcPr>
            <w:tcW w:w="3291" w:type="dxa"/>
          </w:tcPr>
          <w:p w:rsidRPr="00F025A3" w:rsidR="00925076" w:rsidP="005C387F" w:rsidRDefault="00BF375C" w14:paraId="4D404636" w14:textId="1F9C5B56">
            <w:pPr>
              <w:rPr>
                <w:rFonts w:ascii="Verdana" w:hAnsi="Verdana"/>
                <w:sz w:val="21"/>
                <w:szCs w:val="21"/>
              </w:rPr>
            </w:pPr>
            <w:r w:rsidRPr="00F025A3">
              <w:rPr>
                <w:rFonts w:ascii="Verdana" w:hAnsi="Verdana"/>
                <w:sz w:val="21"/>
                <w:szCs w:val="21"/>
              </w:rPr>
              <w:t>To formally complete the process effectively with opportunity to reflect on learning and continuously improve the process.</w:t>
            </w:r>
          </w:p>
        </w:tc>
      </w:tr>
    </w:tbl>
    <w:p w:rsidRPr="00F025A3" w:rsidR="006215B3" w:rsidRDefault="006215B3" w14:paraId="2E467E19" w14:textId="77777777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br w:type="page"/>
      </w:r>
    </w:p>
    <w:p w:rsidRPr="00F025A3" w:rsidR="00852719" w:rsidP="00852719" w:rsidRDefault="00852719" w14:paraId="147547D3" w14:textId="59885BA9">
      <w:pPr>
        <w:rPr>
          <w:rFonts w:ascii="Verdana" w:hAnsi="Verdana"/>
          <w:b/>
          <w:sz w:val="21"/>
          <w:szCs w:val="21"/>
        </w:rPr>
      </w:pPr>
      <w:r w:rsidRPr="00F025A3">
        <w:rPr>
          <w:rFonts w:ascii="Verdana" w:hAnsi="Verdana"/>
          <w:b/>
          <w:sz w:val="21"/>
          <w:szCs w:val="21"/>
        </w:rPr>
        <w:lastRenderedPageBreak/>
        <w:t>Evidence Review T</w:t>
      </w:r>
      <w:r w:rsidRPr="00F025A3" w:rsidR="006215B3">
        <w:rPr>
          <w:rFonts w:ascii="Verdana" w:hAnsi="Verdana"/>
          <w:b/>
          <w:sz w:val="21"/>
          <w:szCs w:val="21"/>
        </w:rPr>
        <w:t>emplate</w:t>
      </w:r>
      <w:r w:rsidR="00F025A3">
        <w:rPr>
          <w:rFonts w:ascii="Verdana" w:hAnsi="Verdana"/>
          <w:b/>
          <w:sz w:val="21"/>
          <w:szCs w:val="21"/>
        </w:rPr>
        <w:t xml:space="preserve"> - D</w:t>
      </w:r>
      <w:r w:rsidRPr="00F025A3">
        <w:rPr>
          <w:rFonts w:ascii="Verdana" w:hAnsi="Verdana"/>
          <w:b/>
          <w:sz w:val="21"/>
          <w:szCs w:val="21"/>
        </w:rPr>
        <w:t>eveloped with the Research and Evidence Panel</w:t>
      </w:r>
    </w:p>
    <w:p w:rsidRPr="00F025A3" w:rsidR="00C065C2" w:rsidP="00C065C2" w:rsidRDefault="00C065C2" w14:paraId="531B3E4D" w14:textId="77777777">
      <w:pPr>
        <w:rPr>
          <w:rFonts w:ascii="Verdana" w:hAnsi="Verdana"/>
          <w:sz w:val="21"/>
          <w:szCs w:val="21"/>
        </w:rPr>
      </w:pPr>
    </w:p>
    <w:p w:rsidR="289FDD84" w:rsidP="289FDD84" w:rsidRDefault="289FDD84" w14:paraId="791A7EB8" w14:textId="43ABFF7D">
      <w:pPr>
        <w:pStyle w:val="Normal"/>
        <w:rPr>
          <w:rFonts w:ascii="Verdana" w:hAnsi="Verdana"/>
          <w:sz w:val="21"/>
          <w:szCs w:val="21"/>
        </w:rPr>
      </w:pPr>
      <w:r w:rsidRPr="289FDD84" w:rsidR="289FDD84">
        <w:rPr>
          <w:rFonts w:ascii="Verdana" w:hAnsi="Verdana"/>
          <w:sz w:val="21"/>
          <w:szCs w:val="21"/>
        </w:rPr>
        <w:t>The Panels will need to provide a scope for each evidence review, to help the lead co-ordinating deliver what is needed. This can include a requirement to draw on community science or learning and best practice from other sectors, as well as from within the academic community.</w:t>
      </w:r>
    </w:p>
    <w:p w:rsidR="289FDD84" w:rsidP="289FDD84" w:rsidRDefault="289FDD84" w14:paraId="33C57775" w14:textId="6DC09228">
      <w:pPr>
        <w:pStyle w:val="Normal"/>
        <w:rPr>
          <w:rFonts w:ascii="Verdana" w:hAnsi="Verdana"/>
          <w:sz w:val="21"/>
          <w:szCs w:val="21"/>
        </w:rPr>
      </w:pPr>
    </w:p>
    <w:p w:rsidRPr="00F025A3" w:rsidR="00D24F69" w:rsidP="00C065C2" w:rsidRDefault="00D24F69" w14:paraId="5731F1FA" w14:textId="2D5E56CD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c</w:t>
      </w:r>
      <w:r w:rsidR="00F025A3">
        <w:rPr>
          <w:rFonts w:ascii="Verdana" w:hAnsi="Verdana"/>
          <w:sz w:val="21"/>
          <w:szCs w:val="21"/>
        </w:rPr>
        <w:t>.</w:t>
      </w:r>
      <w:r w:rsidRPr="00F025A3">
        <w:rPr>
          <w:rFonts w:ascii="Verdana" w:hAnsi="Verdana"/>
          <w:sz w:val="21"/>
          <w:szCs w:val="21"/>
        </w:rPr>
        <w:t xml:space="preserve">2000 words, written </w:t>
      </w:r>
      <w:r w:rsidR="00F025A3">
        <w:rPr>
          <w:rFonts w:ascii="Verdana" w:hAnsi="Verdana"/>
          <w:sz w:val="21"/>
          <w:szCs w:val="21"/>
        </w:rPr>
        <w:t>to be</w:t>
      </w:r>
      <w:r w:rsidRPr="00F025A3">
        <w:rPr>
          <w:rFonts w:ascii="Verdana" w:hAnsi="Verdana"/>
          <w:sz w:val="21"/>
          <w:szCs w:val="21"/>
        </w:rPr>
        <w:t xml:space="preserve"> accessible </w:t>
      </w:r>
      <w:r w:rsidR="00F025A3">
        <w:rPr>
          <w:rFonts w:ascii="Verdana" w:hAnsi="Verdana"/>
          <w:sz w:val="21"/>
          <w:szCs w:val="21"/>
        </w:rPr>
        <w:t>whilst</w:t>
      </w:r>
      <w:r w:rsidRPr="00F025A3" w:rsidR="00C065C2">
        <w:rPr>
          <w:rFonts w:ascii="Verdana" w:hAnsi="Verdana"/>
          <w:sz w:val="21"/>
          <w:szCs w:val="21"/>
        </w:rPr>
        <w:t xml:space="preserve"> connecting to the research and evidence base</w:t>
      </w:r>
      <w:r w:rsidRPr="00F025A3">
        <w:rPr>
          <w:rFonts w:ascii="Verdana" w:hAnsi="Verdana"/>
          <w:sz w:val="21"/>
          <w:szCs w:val="21"/>
        </w:rPr>
        <w:t>, addressing the following points:</w:t>
      </w:r>
    </w:p>
    <w:p w:rsidRPr="00F025A3" w:rsidR="006215B3" w:rsidRDefault="006215B3" w14:paraId="321CF424" w14:textId="77777777">
      <w:pPr>
        <w:rPr>
          <w:rFonts w:ascii="Verdana" w:hAnsi="Verdana"/>
          <w:sz w:val="21"/>
          <w:szCs w:val="21"/>
        </w:rPr>
      </w:pPr>
    </w:p>
    <w:p w:rsidRPr="00F025A3" w:rsidR="00D24F69" w:rsidP="00C065C2" w:rsidRDefault="00C065C2" w14:paraId="1BCEC745" w14:textId="77777777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A. Context and d</w:t>
      </w:r>
      <w:r w:rsidRPr="00F025A3" w:rsidR="00D24F69">
        <w:rPr>
          <w:rFonts w:ascii="Verdana" w:hAnsi="Verdana"/>
          <w:sz w:val="21"/>
          <w:szCs w:val="21"/>
        </w:rPr>
        <w:t>escription of the issue</w:t>
      </w:r>
    </w:p>
    <w:p w:rsidRPr="00F025A3" w:rsidR="00D24F69" w:rsidP="00D24F69" w:rsidRDefault="00D24F69" w14:paraId="66BF72C3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Evidence on the importance of the issue </w:t>
      </w:r>
    </w:p>
    <w:p w:rsidRPr="00F025A3" w:rsidR="00D24F69" w:rsidP="00D24F69" w:rsidRDefault="00D24F69" w14:paraId="59A294BB" w14:textId="77777777">
      <w:pPr>
        <w:pStyle w:val="ListParagraph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Globally</w:t>
      </w:r>
    </w:p>
    <w:p w:rsidRPr="00F025A3" w:rsidR="00D24F69" w:rsidP="00D24F69" w:rsidRDefault="00D24F69" w14:paraId="4D30A75E" w14:textId="77777777">
      <w:pPr>
        <w:pStyle w:val="ListParagraph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Nationally</w:t>
      </w:r>
    </w:p>
    <w:p w:rsidRPr="00F025A3" w:rsidR="00D24F69" w:rsidP="00D24F69" w:rsidRDefault="00D24F69" w14:paraId="5E91AE64" w14:textId="77777777">
      <w:pPr>
        <w:pStyle w:val="ListParagraph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Regionally</w:t>
      </w:r>
    </w:p>
    <w:p w:rsidRPr="00F025A3" w:rsidR="00D24F69" w:rsidP="00D24F69" w:rsidRDefault="00D24F69" w14:paraId="15DC2C17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Links between the issue and the broader objectives of the Commission (net zero, climate resilience, nature recovery, just transitions)</w:t>
      </w:r>
    </w:p>
    <w:p w:rsidRPr="00F025A3" w:rsidR="00D24F69" w:rsidP="00C065C2" w:rsidRDefault="00D24F69" w14:paraId="3A942833" w14:textId="77777777">
      <w:pPr>
        <w:rPr>
          <w:rFonts w:ascii="Verdana" w:hAnsi="Verdana"/>
          <w:sz w:val="21"/>
          <w:szCs w:val="21"/>
        </w:rPr>
      </w:pPr>
    </w:p>
    <w:p w:rsidRPr="00F025A3" w:rsidR="00C065C2" w:rsidP="00C065C2" w:rsidRDefault="00C065C2" w14:paraId="60D70F0E" w14:textId="77777777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B. Forms of response</w:t>
      </w:r>
    </w:p>
    <w:p w:rsidRPr="00F025A3" w:rsidR="00D24F69" w:rsidP="00D24F69" w:rsidRDefault="00D24F69" w14:paraId="356986D2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Discussion on the scale and pace of action required on this issue</w:t>
      </w:r>
    </w:p>
    <w:p w:rsidRPr="00F025A3" w:rsidR="00C065C2" w:rsidP="00C065C2" w:rsidRDefault="00C065C2" w14:paraId="2C65EDFF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Discussion on the scale and pace of action currently underway on this issue</w:t>
      </w:r>
    </w:p>
    <w:p w:rsidRPr="00F025A3" w:rsidR="00881113" w:rsidP="00881113" w:rsidRDefault="00881113" w14:paraId="5D6822F5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Discussion on key enablers/blockers shaping current activity (e.g. policy, finance, business engagement, public support)</w:t>
      </w:r>
    </w:p>
    <w:p w:rsidRPr="00F025A3" w:rsidR="00C065C2" w:rsidP="00C065C2" w:rsidRDefault="00D24F69" w14:paraId="7F11EA3D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Review of potential forms of response </w:t>
      </w:r>
      <w:r w:rsidRPr="00F025A3" w:rsidR="00881113">
        <w:rPr>
          <w:rFonts w:ascii="Verdana" w:hAnsi="Verdana"/>
          <w:sz w:val="21"/>
          <w:szCs w:val="21"/>
        </w:rPr>
        <w:t>that could be adopted in the region</w:t>
      </w:r>
    </w:p>
    <w:p w:rsidRPr="00F025A3" w:rsidR="00C065C2" w:rsidP="00C065C2" w:rsidRDefault="00C065C2" w14:paraId="6D54332C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Identification of any best practice examples</w:t>
      </w:r>
      <w:r w:rsidRPr="00F025A3" w:rsidR="00881113">
        <w:rPr>
          <w:rFonts w:ascii="Verdana" w:hAnsi="Verdana"/>
          <w:sz w:val="21"/>
          <w:szCs w:val="21"/>
        </w:rPr>
        <w:t xml:space="preserve"> that the region could learn from</w:t>
      </w:r>
    </w:p>
    <w:p w:rsidRPr="00F025A3" w:rsidR="00D24F69" w:rsidP="00D24F69" w:rsidRDefault="00D24F69" w14:paraId="523C197E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Discussion on costs</w:t>
      </w:r>
      <w:r w:rsidRPr="00F025A3" w:rsidR="00C065C2">
        <w:rPr>
          <w:rFonts w:ascii="Verdana" w:hAnsi="Verdana"/>
          <w:sz w:val="21"/>
          <w:szCs w:val="21"/>
        </w:rPr>
        <w:t xml:space="preserve"> and benefits and winners and l</w:t>
      </w:r>
      <w:r w:rsidRPr="00F025A3">
        <w:rPr>
          <w:rFonts w:ascii="Verdana" w:hAnsi="Verdana"/>
          <w:sz w:val="21"/>
          <w:szCs w:val="21"/>
        </w:rPr>
        <w:t>osers</w:t>
      </w:r>
      <w:r w:rsidRPr="00F025A3" w:rsidR="00881113">
        <w:rPr>
          <w:rFonts w:ascii="Verdana" w:hAnsi="Verdana"/>
          <w:sz w:val="21"/>
          <w:szCs w:val="21"/>
        </w:rPr>
        <w:t xml:space="preserve"> from the potential response</w:t>
      </w:r>
    </w:p>
    <w:p w:rsidRPr="00F025A3" w:rsidR="00C065C2" w:rsidP="00C065C2" w:rsidRDefault="00C065C2" w14:paraId="66AAD003" w14:textId="77777777">
      <w:pPr>
        <w:rPr>
          <w:rFonts w:ascii="Verdana" w:hAnsi="Verdana"/>
          <w:sz w:val="21"/>
          <w:szCs w:val="21"/>
        </w:rPr>
      </w:pPr>
    </w:p>
    <w:p w:rsidRPr="00F025A3" w:rsidR="00881113" w:rsidP="00881113" w:rsidRDefault="00C065C2" w14:paraId="41FAE9BE" w14:textId="77777777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C. Proposed actions for the region</w:t>
      </w:r>
    </w:p>
    <w:p w:rsidRPr="00F025A3" w:rsidR="00881113" w:rsidP="00881113" w:rsidRDefault="00881113" w14:paraId="51E5F204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Elaboration of potential ways forward for the region</w:t>
      </w:r>
    </w:p>
    <w:p w:rsidRPr="00F025A3" w:rsidR="00881113" w:rsidP="00881113" w:rsidRDefault="00881113" w14:paraId="7D82750A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Discussion on the key actions needed to make those ways forward viable</w:t>
      </w:r>
    </w:p>
    <w:p w:rsidRPr="00F025A3" w:rsidR="00881113" w:rsidP="00881113" w:rsidRDefault="00881113" w14:paraId="10D10EED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Discussion on the implications of inaction or continuation of current approaches</w:t>
      </w:r>
    </w:p>
    <w:p w:rsidRPr="00F025A3" w:rsidR="00C065C2" w:rsidP="00881113" w:rsidRDefault="00C065C2" w14:paraId="3F364B2D" w14:textId="77777777">
      <w:pPr>
        <w:ind w:left="360"/>
        <w:rPr>
          <w:rFonts w:ascii="Verdana" w:hAnsi="Verdana"/>
          <w:sz w:val="21"/>
          <w:szCs w:val="21"/>
        </w:rPr>
      </w:pPr>
    </w:p>
    <w:p w:rsidRPr="00F025A3" w:rsidR="00881113" w:rsidRDefault="00881113" w14:paraId="20EED637" w14:textId="77777777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br w:type="page"/>
      </w:r>
    </w:p>
    <w:p w:rsidRPr="00F025A3" w:rsidR="006215B3" w:rsidRDefault="000B56CD" w14:paraId="059CBFCB" w14:textId="539A368F">
      <w:pPr>
        <w:rPr>
          <w:rFonts w:ascii="Verdana" w:hAnsi="Verdana"/>
          <w:b/>
          <w:sz w:val="21"/>
          <w:szCs w:val="21"/>
        </w:rPr>
      </w:pPr>
      <w:r w:rsidRPr="00F025A3">
        <w:rPr>
          <w:rFonts w:ascii="Verdana" w:hAnsi="Verdana"/>
          <w:b/>
          <w:sz w:val="21"/>
          <w:szCs w:val="21"/>
        </w:rPr>
        <w:lastRenderedPageBreak/>
        <w:t xml:space="preserve">Delivering Impact </w:t>
      </w:r>
      <w:r w:rsidRPr="00F025A3" w:rsidR="00852719">
        <w:rPr>
          <w:rFonts w:ascii="Verdana" w:hAnsi="Verdana"/>
          <w:b/>
          <w:sz w:val="21"/>
          <w:szCs w:val="21"/>
        </w:rPr>
        <w:t xml:space="preserve">Session </w:t>
      </w:r>
      <w:r w:rsidRPr="00F025A3">
        <w:rPr>
          <w:rFonts w:ascii="Verdana" w:hAnsi="Verdana"/>
          <w:b/>
          <w:sz w:val="21"/>
          <w:szCs w:val="21"/>
        </w:rPr>
        <w:t>Framework</w:t>
      </w:r>
    </w:p>
    <w:p w:rsidRPr="00F025A3" w:rsidR="006215B3" w:rsidRDefault="006215B3" w14:paraId="697690FB" w14:textId="77777777">
      <w:pPr>
        <w:rPr>
          <w:rFonts w:ascii="Verdana" w:hAnsi="Verdana"/>
          <w:sz w:val="21"/>
          <w:szCs w:val="21"/>
        </w:rPr>
      </w:pPr>
    </w:p>
    <w:p w:rsidRPr="00F025A3" w:rsidR="00881113" w:rsidRDefault="000B6EE3" w14:paraId="04A4DCE8" w14:textId="10B54E9C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Whole session – 2.5 hrs</w:t>
      </w:r>
      <w:r w:rsidRPr="00F025A3" w:rsidR="00881113">
        <w:rPr>
          <w:rFonts w:ascii="Verdana" w:hAnsi="Verdana"/>
          <w:sz w:val="21"/>
          <w:szCs w:val="21"/>
        </w:rPr>
        <w:t xml:space="preserve"> </w:t>
      </w:r>
    </w:p>
    <w:p w:rsidRPr="00F025A3" w:rsidR="00881113" w:rsidRDefault="00881113" w14:paraId="43BB5D17" w14:textId="77777777">
      <w:pPr>
        <w:rPr>
          <w:rFonts w:ascii="Verdana" w:hAnsi="Verdana"/>
          <w:sz w:val="21"/>
          <w:szCs w:val="21"/>
        </w:rPr>
      </w:pPr>
    </w:p>
    <w:p w:rsidRPr="00F025A3" w:rsidR="00857ACA" w:rsidP="00D24F69" w:rsidRDefault="000B6EE3" w14:paraId="05EF06AA" w14:textId="49884927">
      <w:pPr>
        <w:rPr>
          <w:rFonts w:ascii="Verdana" w:hAnsi="Verdana"/>
          <w:b/>
          <w:sz w:val="21"/>
          <w:szCs w:val="21"/>
        </w:rPr>
      </w:pPr>
      <w:r w:rsidRPr="00F025A3">
        <w:rPr>
          <w:rFonts w:ascii="Verdana" w:hAnsi="Verdana"/>
          <w:b/>
          <w:sz w:val="21"/>
          <w:szCs w:val="21"/>
        </w:rPr>
        <w:t xml:space="preserve">Part </w:t>
      </w:r>
      <w:r w:rsidRPr="00F025A3" w:rsidR="00857ACA">
        <w:rPr>
          <w:rFonts w:ascii="Verdana" w:hAnsi="Verdana"/>
          <w:b/>
          <w:sz w:val="21"/>
          <w:szCs w:val="21"/>
        </w:rPr>
        <w:t xml:space="preserve">1 </w:t>
      </w:r>
      <w:r w:rsidRPr="00F025A3">
        <w:rPr>
          <w:rFonts w:ascii="Verdana" w:hAnsi="Verdana"/>
          <w:b/>
          <w:sz w:val="21"/>
          <w:szCs w:val="21"/>
        </w:rPr>
        <w:t xml:space="preserve">(1hr 10mins) </w:t>
      </w:r>
      <w:r w:rsidRPr="00F025A3" w:rsidR="00857ACA">
        <w:rPr>
          <w:rFonts w:ascii="Verdana" w:hAnsi="Verdana"/>
          <w:b/>
          <w:sz w:val="21"/>
          <w:szCs w:val="21"/>
        </w:rPr>
        <w:t>– to be recorded and used as part of the consultation process</w:t>
      </w:r>
    </w:p>
    <w:p w:rsidRPr="00F025A3" w:rsidR="00857ACA" w:rsidP="00D24F69" w:rsidRDefault="00857ACA" w14:paraId="3DDF49ED" w14:textId="77777777">
      <w:pPr>
        <w:rPr>
          <w:rFonts w:ascii="Verdana" w:hAnsi="Verdana"/>
          <w:sz w:val="21"/>
          <w:szCs w:val="21"/>
        </w:rPr>
      </w:pPr>
    </w:p>
    <w:p w:rsidRPr="00F025A3" w:rsidR="00881113" w:rsidP="00D24F69" w:rsidRDefault="00852719" w14:paraId="3A23DC58" w14:textId="51FA975E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Inspiring and thought-</w:t>
      </w:r>
      <w:r w:rsidRPr="00F025A3" w:rsidR="0077447D">
        <w:rPr>
          <w:rFonts w:ascii="Verdana" w:hAnsi="Verdana"/>
          <w:sz w:val="21"/>
          <w:szCs w:val="21"/>
        </w:rPr>
        <w:t>provoking</w:t>
      </w:r>
      <w:r w:rsidRPr="00F025A3" w:rsidR="00881113">
        <w:rPr>
          <w:rFonts w:ascii="Verdana" w:hAnsi="Verdana"/>
          <w:sz w:val="21"/>
          <w:szCs w:val="21"/>
        </w:rPr>
        <w:t xml:space="preserve"> presentation (1</w:t>
      </w:r>
      <w:r w:rsidRPr="00F025A3" w:rsidR="000B6EE3">
        <w:rPr>
          <w:rFonts w:ascii="Verdana" w:hAnsi="Verdana"/>
          <w:sz w:val="21"/>
          <w:szCs w:val="21"/>
        </w:rPr>
        <w:t>0</w:t>
      </w:r>
      <w:r w:rsidRPr="00F025A3" w:rsidR="00881113">
        <w:rPr>
          <w:rFonts w:ascii="Verdana" w:hAnsi="Verdana"/>
          <w:sz w:val="21"/>
          <w:szCs w:val="21"/>
        </w:rPr>
        <w:t xml:space="preserve"> mins</w:t>
      </w:r>
      <w:r w:rsidRPr="00F025A3" w:rsidR="000B6EE3">
        <w:rPr>
          <w:rFonts w:ascii="Verdana" w:hAnsi="Verdana"/>
          <w:sz w:val="21"/>
          <w:szCs w:val="21"/>
        </w:rPr>
        <w:t xml:space="preserve"> speaking + 10 mins </w:t>
      </w:r>
      <w:r w:rsidRPr="00F025A3">
        <w:rPr>
          <w:rFonts w:ascii="Verdana" w:hAnsi="Verdana"/>
          <w:sz w:val="21"/>
          <w:szCs w:val="21"/>
        </w:rPr>
        <w:t xml:space="preserve">direct </w:t>
      </w:r>
      <w:r w:rsidRPr="00F025A3" w:rsidR="000B6EE3">
        <w:rPr>
          <w:rFonts w:ascii="Verdana" w:hAnsi="Verdana"/>
          <w:sz w:val="21"/>
          <w:szCs w:val="21"/>
        </w:rPr>
        <w:t>questions</w:t>
      </w:r>
      <w:r w:rsidRPr="00F025A3" w:rsidR="00881113">
        <w:rPr>
          <w:rFonts w:ascii="Verdana" w:hAnsi="Verdana"/>
          <w:sz w:val="21"/>
          <w:szCs w:val="21"/>
        </w:rPr>
        <w:t>)</w:t>
      </w:r>
    </w:p>
    <w:p w:rsidRPr="00F025A3" w:rsidR="00881113" w:rsidP="00881113" w:rsidRDefault="00D24F69" w14:paraId="0CC8EE3E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do we need to do and by when?</w:t>
      </w:r>
    </w:p>
    <w:p w:rsidRPr="00F025A3" w:rsidR="00D24F69" w:rsidP="00881113" w:rsidRDefault="00D24F69" w14:paraId="136884F0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does </w:t>
      </w:r>
      <w:r w:rsidRPr="00F025A3" w:rsidR="00857ACA">
        <w:rPr>
          <w:rFonts w:ascii="Verdana" w:hAnsi="Verdana"/>
          <w:sz w:val="21"/>
          <w:szCs w:val="21"/>
        </w:rPr>
        <w:t>current</w:t>
      </w:r>
      <w:r w:rsidRPr="00F025A3">
        <w:rPr>
          <w:rFonts w:ascii="Verdana" w:hAnsi="Verdana"/>
          <w:sz w:val="21"/>
          <w:szCs w:val="21"/>
        </w:rPr>
        <w:t xml:space="preserve"> best practice look like? </w:t>
      </w:r>
    </w:p>
    <w:p w:rsidRPr="00F025A3" w:rsidR="00881113" w:rsidP="00D24F69" w:rsidRDefault="00881113" w14:paraId="2BC09872" w14:textId="77777777">
      <w:pPr>
        <w:rPr>
          <w:rFonts w:ascii="Verdana" w:hAnsi="Verdana"/>
          <w:sz w:val="21"/>
          <w:szCs w:val="21"/>
        </w:rPr>
      </w:pPr>
    </w:p>
    <w:p w:rsidRPr="00F025A3" w:rsidR="00881113" w:rsidP="00D24F69" w:rsidRDefault="00881113" w14:paraId="16A51C2B" w14:textId="23A026BB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Regional best practice </w:t>
      </w:r>
      <w:r w:rsidRPr="00F025A3" w:rsidR="00857ACA">
        <w:rPr>
          <w:rFonts w:ascii="Verdana" w:hAnsi="Verdana"/>
          <w:sz w:val="21"/>
          <w:szCs w:val="21"/>
        </w:rPr>
        <w:t>presentation</w:t>
      </w:r>
      <w:r w:rsidRPr="00F025A3" w:rsidR="000B6EE3">
        <w:rPr>
          <w:rFonts w:ascii="Verdana" w:hAnsi="Verdana"/>
          <w:sz w:val="21"/>
          <w:szCs w:val="21"/>
        </w:rPr>
        <w:t xml:space="preserve"> (10 mins speaking + 10 mins </w:t>
      </w:r>
      <w:r w:rsidRPr="00F025A3" w:rsidR="00852719">
        <w:rPr>
          <w:rFonts w:ascii="Verdana" w:hAnsi="Verdana"/>
          <w:sz w:val="21"/>
          <w:szCs w:val="21"/>
        </w:rPr>
        <w:t xml:space="preserve">direct </w:t>
      </w:r>
      <w:r w:rsidRPr="00F025A3" w:rsidR="000B6EE3">
        <w:rPr>
          <w:rFonts w:ascii="Verdana" w:hAnsi="Verdana"/>
          <w:sz w:val="21"/>
          <w:szCs w:val="21"/>
        </w:rPr>
        <w:t>questions)</w:t>
      </w:r>
    </w:p>
    <w:p w:rsidRPr="00F025A3" w:rsidR="00D24F69" w:rsidP="00857ACA" w:rsidRDefault="00D24F69" w14:paraId="57364D6D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is regional best practice and how widespread is it? </w:t>
      </w:r>
    </w:p>
    <w:p w:rsidRPr="00F025A3" w:rsidR="00D24F69" w:rsidP="00857ACA" w:rsidRDefault="00D24F69" w14:paraId="59452417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is normal practice and how can we change it?</w:t>
      </w:r>
    </w:p>
    <w:p w:rsidRPr="00F025A3" w:rsidR="00881113" w:rsidP="00D24F69" w:rsidRDefault="00881113" w14:paraId="4C8669DC" w14:textId="77777777">
      <w:pPr>
        <w:rPr>
          <w:rFonts w:ascii="Verdana" w:hAnsi="Verdana"/>
          <w:sz w:val="21"/>
          <w:szCs w:val="21"/>
        </w:rPr>
      </w:pPr>
    </w:p>
    <w:p w:rsidRPr="00F025A3" w:rsidR="00881113" w:rsidP="00D24F69" w:rsidRDefault="00881113" w14:paraId="5B97FF27" w14:textId="7893DFF7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Stakeholder presentations (</w:t>
      </w:r>
      <w:r w:rsidRPr="00F025A3" w:rsidR="000B6EE3">
        <w:rPr>
          <w:rFonts w:ascii="Verdana" w:hAnsi="Verdana"/>
          <w:sz w:val="21"/>
          <w:szCs w:val="21"/>
        </w:rPr>
        <w:t xml:space="preserve">x3, each </w:t>
      </w:r>
      <w:r w:rsidRPr="00F025A3" w:rsidR="00852719">
        <w:rPr>
          <w:rFonts w:ascii="Verdana" w:hAnsi="Verdana"/>
          <w:sz w:val="21"/>
          <w:szCs w:val="21"/>
        </w:rPr>
        <w:t>7</w:t>
      </w:r>
      <w:r w:rsidRPr="00F025A3">
        <w:rPr>
          <w:rFonts w:ascii="Verdana" w:hAnsi="Verdana"/>
          <w:sz w:val="21"/>
          <w:szCs w:val="21"/>
        </w:rPr>
        <w:t xml:space="preserve"> mins</w:t>
      </w:r>
      <w:r w:rsidRPr="00F025A3" w:rsidR="000B6EE3">
        <w:rPr>
          <w:rFonts w:ascii="Verdana" w:hAnsi="Verdana"/>
          <w:sz w:val="21"/>
          <w:szCs w:val="21"/>
        </w:rPr>
        <w:t xml:space="preserve"> speaking</w:t>
      </w:r>
      <w:r w:rsidRPr="00F025A3" w:rsidR="00852719">
        <w:rPr>
          <w:rFonts w:ascii="Verdana" w:hAnsi="Verdana"/>
          <w:sz w:val="21"/>
          <w:szCs w:val="21"/>
        </w:rPr>
        <w:t xml:space="preserve"> + 3 mins direct questions</w:t>
      </w:r>
      <w:r w:rsidRPr="00F025A3">
        <w:rPr>
          <w:rFonts w:ascii="Verdana" w:hAnsi="Verdana"/>
          <w:sz w:val="21"/>
          <w:szCs w:val="21"/>
        </w:rPr>
        <w:t>)</w:t>
      </w:r>
    </w:p>
    <w:p w:rsidRPr="00F025A3" w:rsidR="00857ACA" w:rsidP="00D24F69" w:rsidRDefault="00881113" w14:paraId="71245A06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Perspective from local government</w:t>
      </w:r>
    </w:p>
    <w:p w:rsidRPr="00F025A3" w:rsidR="00857ACA" w:rsidP="00D24F69" w:rsidRDefault="00881113" w14:paraId="1A9E96BC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Perspective from business</w:t>
      </w:r>
    </w:p>
    <w:p w:rsidRPr="00F025A3" w:rsidR="00881113" w:rsidP="00D24F69" w:rsidRDefault="00881113" w14:paraId="51097C31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Perspective from communities/third sector</w:t>
      </w:r>
    </w:p>
    <w:p w:rsidRPr="00F025A3" w:rsidR="00881113" w:rsidP="00D24F69" w:rsidRDefault="00881113" w14:paraId="73EE5218" w14:textId="77777777">
      <w:pPr>
        <w:rPr>
          <w:rFonts w:ascii="Verdana" w:hAnsi="Verdana"/>
          <w:sz w:val="21"/>
          <w:szCs w:val="21"/>
        </w:rPr>
      </w:pPr>
    </w:p>
    <w:p w:rsidRPr="00F025A3" w:rsidR="000B6EE3" w:rsidP="00852719" w:rsidRDefault="00852719" w14:paraId="6053CBF8" w14:textId="7991EABD">
      <w:pPr>
        <w:rPr>
          <w:rFonts w:ascii="Verdana" w:hAnsi="Verdana"/>
          <w:b/>
          <w:sz w:val="21"/>
          <w:szCs w:val="21"/>
        </w:rPr>
      </w:pPr>
      <w:r w:rsidRPr="00F025A3">
        <w:rPr>
          <w:rFonts w:ascii="Verdana" w:hAnsi="Verdana"/>
          <w:b/>
          <w:sz w:val="21"/>
          <w:szCs w:val="21"/>
        </w:rPr>
        <w:t xml:space="preserve">* </w:t>
      </w:r>
      <w:r w:rsidRPr="00F025A3" w:rsidR="000B6EE3">
        <w:rPr>
          <w:rFonts w:ascii="Verdana" w:hAnsi="Verdana"/>
          <w:b/>
          <w:sz w:val="21"/>
          <w:szCs w:val="21"/>
        </w:rPr>
        <w:t>10 mins break</w:t>
      </w:r>
      <w:r w:rsidRPr="00F025A3">
        <w:rPr>
          <w:rFonts w:ascii="Verdana" w:hAnsi="Verdana"/>
          <w:b/>
          <w:sz w:val="21"/>
          <w:szCs w:val="21"/>
        </w:rPr>
        <w:t xml:space="preserve"> *</w:t>
      </w:r>
    </w:p>
    <w:p w:rsidRPr="00F025A3" w:rsidR="000B6EE3" w:rsidP="00D24F69" w:rsidRDefault="000B6EE3" w14:paraId="09C4D72B" w14:textId="77777777">
      <w:pPr>
        <w:rPr>
          <w:rFonts w:ascii="Verdana" w:hAnsi="Verdana"/>
          <w:sz w:val="21"/>
          <w:szCs w:val="21"/>
        </w:rPr>
      </w:pPr>
    </w:p>
    <w:p w:rsidRPr="00F025A3" w:rsidR="00881113" w:rsidP="00D24F69" w:rsidRDefault="000B6EE3" w14:paraId="18D04AF2" w14:textId="2DAFFC0C">
      <w:pPr>
        <w:rPr>
          <w:rFonts w:ascii="Verdana" w:hAnsi="Verdana"/>
          <w:b/>
          <w:sz w:val="21"/>
          <w:szCs w:val="21"/>
        </w:rPr>
      </w:pPr>
      <w:r w:rsidRPr="00F025A3">
        <w:rPr>
          <w:rFonts w:ascii="Verdana" w:hAnsi="Verdana"/>
          <w:b/>
          <w:sz w:val="21"/>
          <w:szCs w:val="21"/>
        </w:rPr>
        <w:t>Part</w:t>
      </w:r>
      <w:r w:rsidRPr="00F025A3" w:rsidR="00857ACA">
        <w:rPr>
          <w:rFonts w:ascii="Verdana" w:hAnsi="Verdana"/>
          <w:b/>
          <w:sz w:val="21"/>
          <w:szCs w:val="21"/>
        </w:rPr>
        <w:t xml:space="preserve"> 2 </w:t>
      </w:r>
      <w:r w:rsidRPr="00F025A3">
        <w:rPr>
          <w:rFonts w:ascii="Verdana" w:hAnsi="Verdana"/>
          <w:b/>
          <w:sz w:val="21"/>
          <w:szCs w:val="21"/>
        </w:rPr>
        <w:t xml:space="preserve">(1 hr 10 mins) </w:t>
      </w:r>
      <w:r w:rsidRPr="00F025A3" w:rsidR="00857ACA">
        <w:rPr>
          <w:rFonts w:ascii="Verdana" w:hAnsi="Verdana"/>
          <w:b/>
          <w:sz w:val="21"/>
          <w:szCs w:val="21"/>
        </w:rPr>
        <w:t>– not recorded, under Chatham House Rule to enable open conversation</w:t>
      </w:r>
    </w:p>
    <w:p w:rsidRPr="00F025A3" w:rsidR="00857ACA" w:rsidP="00D24F69" w:rsidRDefault="00857ACA" w14:paraId="09D7F2DE" w14:textId="77777777">
      <w:pPr>
        <w:rPr>
          <w:rFonts w:ascii="Verdana" w:hAnsi="Verdana"/>
          <w:sz w:val="21"/>
          <w:szCs w:val="21"/>
        </w:rPr>
      </w:pPr>
    </w:p>
    <w:p w:rsidRPr="00F025A3" w:rsidR="00857ACA" w:rsidP="00D24F69" w:rsidRDefault="00857ACA" w14:paraId="3C8CF708" w14:textId="77777777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Structured conversation on:</w:t>
      </w:r>
    </w:p>
    <w:p w:rsidRPr="00F025A3" w:rsidR="00857ACA" w:rsidP="00D24F69" w:rsidRDefault="00857ACA" w14:paraId="06EDB338" w14:textId="77777777">
      <w:pPr>
        <w:rPr>
          <w:rFonts w:ascii="Verdana" w:hAnsi="Verdana"/>
          <w:sz w:val="21"/>
          <w:szCs w:val="21"/>
        </w:rPr>
      </w:pPr>
    </w:p>
    <w:p w:rsidRPr="00F025A3" w:rsidR="005F5F61" w:rsidP="00857ACA" w:rsidRDefault="005F5F61" w14:paraId="012986F6" w14:textId="6CDA36C2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Why is this issue important</w:t>
      </w:r>
      <w:r w:rsidRPr="00F025A3" w:rsidR="000B56CD">
        <w:rPr>
          <w:rFonts w:ascii="Verdana" w:hAnsi="Verdana"/>
          <w:sz w:val="21"/>
          <w:szCs w:val="21"/>
        </w:rPr>
        <w:t>?</w:t>
      </w:r>
    </w:p>
    <w:p w:rsidRPr="00F025A3" w:rsidR="005F5F61" w:rsidP="00857ACA" w:rsidRDefault="005F5F61" w14:paraId="1882AE39" w14:textId="120063F6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How does this issue interact with other key priorities</w:t>
      </w:r>
      <w:r w:rsidRPr="00F025A3" w:rsidR="000B56CD">
        <w:rPr>
          <w:rFonts w:ascii="Verdana" w:hAnsi="Verdana"/>
          <w:sz w:val="21"/>
          <w:szCs w:val="21"/>
        </w:rPr>
        <w:t>?</w:t>
      </w:r>
    </w:p>
    <w:p w:rsidRPr="00F025A3" w:rsidR="005F5F61" w:rsidP="005F5F61" w:rsidRDefault="005F5F61" w14:paraId="312B4165" w14:textId="686276CE">
      <w:pPr>
        <w:pStyle w:val="ListParagraph"/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(Net Zero, Climate Resilience, Nature Recovery, Just Transitions)</w:t>
      </w:r>
    </w:p>
    <w:p w:rsidRPr="00F025A3" w:rsidR="00857ACA" w:rsidP="00857ACA" w:rsidRDefault="00857ACA" w14:paraId="68011F7E" w14:textId="3407A00C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level of action is needed and why</w:t>
      </w:r>
      <w:r w:rsidRPr="00F025A3" w:rsidR="000B56CD">
        <w:rPr>
          <w:rFonts w:ascii="Verdana" w:hAnsi="Verdana"/>
          <w:sz w:val="21"/>
          <w:szCs w:val="21"/>
        </w:rPr>
        <w:t>?</w:t>
      </w:r>
    </w:p>
    <w:p w:rsidRPr="00F025A3" w:rsidR="00857ACA" w:rsidP="00857ACA" w:rsidRDefault="00857ACA" w14:paraId="0E220ECD" w14:textId="7CC4D44F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is currently happening and is it consistent with what is needed</w:t>
      </w:r>
      <w:r w:rsidRPr="00F025A3" w:rsidR="000B56CD">
        <w:rPr>
          <w:rFonts w:ascii="Verdana" w:hAnsi="Verdana"/>
          <w:sz w:val="21"/>
          <w:szCs w:val="21"/>
        </w:rPr>
        <w:t>?</w:t>
      </w:r>
    </w:p>
    <w:p w:rsidRPr="00F025A3" w:rsidR="00857ACA" w:rsidP="00857ACA" w:rsidRDefault="00857ACA" w14:paraId="4B9E82C6" w14:textId="2611DA4E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should we be seeking to do and what does best practice look like</w:t>
      </w:r>
      <w:r w:rsidRPr="00F025A3" w:rsidR="000B56CD">
        <w:rPr>
          <w:rFonts w:ascii="Verdana" w:hAnsi="Verdana"/>
          <w:sz w:val="21"/>
          <w:szCs w:val="21"/>
        </w:rPr>
        <w:t>?</w:t>
      </w:r>
    </w:p>
    <w:p w:rsidRPr="00F025A3" w:rsidR="00857ACA" w:rsidP="00857ACA" w:rsidRDefault="00857ACA" w14:paraId="1B0BB787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capacities do we have and what are the main enablers/blockers? </w:t>
      </w:r>
    </w:p>
    <w:p w:rsidRPr="00F025A3" w:rsidR="00857ACA" w:rsidP="00D24F69" w:rsidRDefault="00857ACA" w14:paraId="2B8C8877" w14:textId="6D59F153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Who are the key </w:t>
      </w:r>
      <w:r w:rsidRPr="00F025A3" w:rsidR="000B56CD">
        <w:rPr>
          <w:rFonts w:ascii="Verdana" w:hAnsi="Verdana"/>
          <w:sz w:val="21"/>
          <w:szCs w:val="21"/>
        </w:rPr>
        <w:t>stakeholders and decision makers</w:t>
      </w:r>
      <w:r w:rsidRPr="00F025A3">
        <w:rPr>
          <w:rFonts w:ascii="Verdana" w:hAnsi="Verdana"/>
          <w:sz w:val="21"/>
          <w:szCs w:val="21"/>
        </w:rPr>
        <w:t xml:space="preserve"> that need to be involved and are they engaged/aligned?</w:t>
      </w:r>
    </w:p>
    <w:p w:rsidRPr="00F025A3" w:rsidR="00857ACA" w:rsidP="00D24F69" w:rsidRDefault="00D24F69" w14:paraId="495C0F94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can we do under current conditions? </w:t>
      </w:r>
    </w:p>
    <w:p w:rsidRPr="00F025A3" w:rsidR="00195DDC" w:rsidP="00195DDC" w:rsidRDefault="00D24F69" w14:paraId="6BCE6C24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policy or other support is needed to go further/faster? </w:t>
      </w:r>
    </w:p>
    <w:p w:rsidRPr="00F025A3" w:rsidR="00857ACA" w:rsidP="00195DDC" w:rsidRDefault="00D24F69" w14:paraId="691796F0" w14:textId="5BC40CC1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should the Commission do to develop and spread regional best practice?</w:t>
      </w:r>
    </w:p>
    <w:p w:rsidRPr="00F025A3" w:rsidR="000B6EE3" w:rsidP="00D24F69" w:rsidRDefault="00857ACA" w14:paraId="7F574204" w14:textId="7777777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</w:t>
      </w:r>
      <w:r w:rsidRPr="00F025A3" w:rsidR="00AB7DB0">
        <w:rPr>
          <w:rFonts w:ascii="Verdana" w:hAnsi="Verdana"/>
          <w:sz w:val="21"/>
          <w:szCs w:val="21"/>
        </w:rPr>
        <w:t xml:space="preserve">is/are the next </w:t>
      </w:r>
      <w:r w:rsidRPr="00F025A3" w:rsidR="00CF0AAD">
        <w:rPr>
          <w:rFonts w:ascii="Verdana" w:hAnsi="Verdana"/>
          <w:sz w:val="21"/>
          <w:szCs w:val="21"/>
        </w:rPr>
        <w:t xml:space="preserve">steps needed to support or enable action? </w:t>
      </w:r>
    </w:p>
    <w:p w:rsidRPr="00F025A3" w:rsidR="00D24F69" w:rsidP="00D24F69" w:rsidRDefault="000B6EE3" w14:paraId="49066AC0" w14:textId="2BAA2406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is the t</w:t>
      </w:r>
      <w:r w:rsidRPr="00F025A3" w:rsidR="00CF0AAD">
        <w:rPr>
          <w:rFonts w:ascii="Verdana" w:hAnsi="Verdana"/>
          <w:sz w:val="21"/>
          <w:szCs w:val="21"/>
        </w:rPr>
        <w:t>imeframe</w:t>
      </w:r>
      <w:r w:rsidRPr="00F025A3">
        <w:rPr>
          <w:rFonts w:ascii="Verdana" w:hAnsi="Verdana"/>
          <w:sz w:val="21"/>
          <w:szCs w:val="21"/>
        </w:rPr>
        <w:t xml:space="preserve"> for action and who should lead</w:t>
      </w:r>
      <w:r w:rsidRPr="00F025A3" w:rsidR="00CF0AAD">
        <w:rPr>
          <w:rFonts w:ascii="Verdana" w:hAnsi="Verdana"/>
          <w:sz w:val="21"/>
          <w:szCs w:val="21"/>
        </w:rPr>
        <w:t>?</w:t>
      </w:r>
    </w:p>
    <w:p w:rsidRPr="00F025A3" w:rsidR="00D24F69" w:rsidRDefault="00D24F69" w14:paraId="163A215E" w14:textId="77777777">
      <w:pPr>
        <w:rPr>
          <w:rFonts w:ascii="Verdana" w:hAnsi="Verdana"/>
          <w:sz w:val="21"/>
          <w:szCs w:val="21"/>
        </w:rPr>
      </w:pPr>
    </w:p>
    <w:p w:rsidRPr="00F025A3" w:rsidR="00852719" w:rsidRDefault="00852719" w14:paraId="4F1ECFEA" w14:textId="6DE7474C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br w:type="page"/>
      </w:r>
    </w:p>
    <w:p w:rsidRPr="00F025A3" w:rsidR="006215B3" w:rsidRDefault="00B41C40" w14:paraId="5CA72B83" w14:textId="5D394652">
      <w:pPr>
        <w:rPr>
          <w:rFonts w:ascii="Verdana" w:hAnsi="Verdana"/>
          <w:b/>
          <w:sz w:val="21"/>
          <w:szCs w:val="21"/>
        </w:rPr>
      </w:pPr>
      <w:r w:rsidRPr="00F025A3">
        <w:rPr>
          <w:rFonts w:ascii="Verdana" w:hAnsi="Verdana"/>
          <w:b/>
          <w:sz w:val="21"/>
          <w:szCs w:val="21"/>
        </w:rPr>
        <w:lastRenderedPageBreak/>
        <w:t>Accessible Briefing Note</w:t>
      </w:r>
      <w:r w:rsidRPr="00F025A3" w:rsidR="00852719">
        <w:rPr>
          <w:rFonts w:ascii="Verdana" w:hAnsi="Verdana"/>
          <w:b/>
          <w:sz w:val="21"/>
          <w:szCs w:val="21"/>
        </w:rPr>
        <w:t xml:space="preserve"> Template</w:t>
      </w:r>
    </w:p>
    <w:p w:rsidRPr="00F025A3" w:rsidR="00852719" w:rsidRDefault="00852719" w14:paraId="76EF6675" w14:textId="77777777">
      <w:pPr>
        <w:rPr>
          <w:rFonts w:ascii="Verdana" w:hAnsi="Verdana"/>
          <w:b/>
          <w:sz w:val="21"/>
          <w:szCs w:val="21"/>
        </w:rPr>
      </w:pPr>
    </w:p>
    <w:p w:rsidRPr="00F025A3" w:rsidR="00852719" w:rsidRDefault="00852719" w14:paraId="593A88C5" w14:textId="1734B45E">
      <w:p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c</w:t>
      </w:r>
      <w:r w:rsidR="00F025A3">
        <w:rPr>
          <w:rFonts w:ascii="Verdana" w:hAnsi="Verdana"/>
          <w:sz w:val="21"/>
          <w:szCs w:val="21"/>
        </w:rPr>
        <w:t>.</w:t>
      </w:r>
      <w:r w:rsidRPr="00F025A3">
        <w:rPr>
          <w:rFonts w:ascii="Verdana" w:hAnsi="Verdana"/>
          <w:sz w:val="21"/>
          <w:szCs w:val="21"/>
        </w:rPr>
        <w:t>2</w:t>
      </w:r>
      <w:r w:rsidRPr="00F025A3" w:rsidR="00051B41">
        <w:rPr>
          <w:rFonts w:ascii="Verdana" w:hAnsi="Verdana"/>
          <w:sz w:val="21"/>
          <w:szCs w:val="21"/>
        </w:rPr>
        <w:t>5</w:t>
      </w:r>
      <w:r w:rsidRPr="00F025A3">
        <w:rPr>
          <w:rFonts w:ascii="Verdana" w:hAnsi="Verdana"/>
          <w:sz w:val="21"/>
          <w:szCs w:val="21"/>
        </w:rPr>
        <w:t>00 words, written as an accessible briefing note, focusing on delivering impact</w:t>
      </w:r>
      <w:r w:rsidRPr="00F025A3" w:rsidR="00051B41">
        <w:rPr>
          <w:rFonts w:ascii="Verdana" w:hAnsi="Verdana"/>
          <w:sz w:val="21"/>
          <w:szCs w:val="21"/>
        </w:rPr>
        <w:t xml:space="preserve"> in Y&amp;H.</w:t>
      </w:r>
    </w:p>
    <w:p w:rsidRPr="00F025A3" w:rsidR="00852719" w:rsidRDefault="00852719" w14:paraId="53EF46DA" w14:textId="77777777">
      <w:pPr>
        <w:rPr>
          <w:rFonts w:ascii="Verdana" w:hAnsi="Verdana"/>
          <w:sz w:val="21"/>
          <w:szCs w:val="21"/>
        </w:rPr>
      </w:pPr>
    </w:p>
    <w:p w:rsidRPr="00F025A3" w:rsidR="00852719" w:rsidP="00852719" w:rsidRDefault="00852719" w14:paraId="1D7E03AC" w14:textId="794B91A0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</w:t>
      </w:r>
      <w:r w:rsidRPr="00F025A3" w:rsidR="000B56CD">
        <w:rPr>
          <w:rFonts w:ascii="Verdana" w:hAnsi="Verdana"/>
          <w:sz w:val="21"/>
          <w:szCs w:val="21"/>
        </w:rPr>
        <w:t>the</w:t>
      </w:r>
      <w:r w:rsidRPr="00F025A3">
        <w:rPr>
          <w:rFonts w:ascii="Verdana" w:hAnsi="Verdana"/>
          <w:sz w:val="21"/>
          <w:szCs w:val="21"/>
        </w:rPr>
        <w:t xml:space="preserve"> issue </w:t>
      </w:r>
      <w:r w:rsidRPr="00F025A3" w:rsidR="000B56CD">
        <w:rPr>
          <w:rFonts w:ascii="Verdana" w:hAnsi="Verdana"/>
          <w:sz w:val="21"/>
          <w:szCs w:val="21"/>
        </w:rPr>
        <w:t xml:space="preserve">is </w:t>
      </w:r>
      <w:r w:rsidRPr="00F025A3">
        <w:rPr>
          <w:rFonts w:ascii="Verdana" w:hAnsi="Verdana"/>
          <w:sz w:val="21"/>
          <w:szCs w:val="21"/>
        </w:rPr>
        <w:t>and why it</w:t>
      </w:r>
      <w:r w:rsidRPr="00F025A3" w:rsidR="000B56CD">
        <w:rPr>
          <w:rFonts w:ascii="Verdana" w:hAnsi="Verdana"/>
          <w:sz w:val="21"/>
          <w:szCs w:val="21"/>
        </w:rPr>
        <w:t xml:space="preserve"> is</w:t>
      </w:r>
      <w:r w:rsidRPr="00F025A3">
        <w:rPr>
          <w:rFonts w:ascii="Verdana" w:hAnsi="Verdana"/>
          <w:sz w:val="21"/>
          <w:szCs w:val="21"/>
        </w:rPr>
        <w:t xml:space="preserve"> important</w:t>
      </w:r>
    </w:p>
    <w:p w:rsidRPr="00F025A3" w:rsidR="00B41C40" w:rsidP="00B41C40" w:rsidRDefault="00B41C40" w14:paraId="631E9F29" w14:textId="4726AD5D">
      <w:pPr>
        <w:pStyle w:val="ListParagraph"/>
        <w:numPr>
          <w:ilvl w:val="1"/>
          <w:numId w:val="1"/>
        </w:numPr>
        <w:rPr>
          <w:rFonts w:ascii="Verdana" w:hAnsi="Verdana"/>
          <w:i/>
          <w:iCs/>
          <w:sz w:val="21"/>
          <w:szCs w:val="21"/>
        </w:rPr>
      </w:pPr>
      <w:r w:rsidRPr="00F025A3">
        <w:rPr>
          <w:rFonts w:ascii="Verdana" w:hAnsi="Verdana"/>
          <w:i/>
          <w:iCs/>
          <w:sz w:val="21"/>
          <w:szCs w:val="21"/>
        </w:rPr>
        <w:t>Range of levels, from individual to a regional &amp; strategic view</w:t>
      </w:r>
    </w:p>
    <w:p w:rsidRPr="00F025A3" w:rsidR="00852719" w:rsidP="00B41C40" w:rsidRDefault="00852719" w14:paraId="1CF01381" w14:textId="71AD712A">
      <w:pPr>
        <w:pStyle w:val="ListParagraph"/>
        <w:ind w:firstLine="360"/>
        <w:rPr>
          <w:rFonts w:ascii="Verdana" w:hAnsi="Verdana"/>
          <w:i/>
          <w:sz w:val="21"/>
          <w:szCs w:val="21"/>
        </w:rPr>
      </w:pPr>
      <w:r w:rsidRPr="00F025A3">
        <w:rPr>
          <w:rFonts w:ascii="Verdana" w:hAnsi="Verdana"/>
          <w:i/>
          <w:sz w:val="21"/>
          <w:szCs w:val="21"/>
        </w:rPr>
        <w:t>Pop out box summarising underpinning evidence</w:t>
      </w:r>
    </w:p>
    <w:p w:rsidRPr="00F025A3" w:rsidR="00051B41" w:rsidP="005F5F61" w:rsidRDefault="00051B41" w14:paraId="78052D09" w14:textId="77777777">
      <w:pPr>
        <w:pStyle w:val="ListParagraph"/>
        <w:rPr>
          <w:rFonts w:ascii="Verdana" w:hAnsi="Verdana"/>
          <w:i/>
          <w:sz w:val="21"/>
          <w:szCs w:val="21"/>
        </w:rPr>
      </w:pPr>
    </w:p>
    <w:p w:rsidRPr="00F025A3" w:rsidR="005F5F61" w:rsidP="005F5F61" w:rsidRDefault="005F5F61" w14:paraId="28251D07" w14:textId="4158EB0F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How this issue relate</w:t>
      </w:r>
      <w:r w:rsidRPr="00F025A3" w:rsidR="000B56CD">
        <w:rPr>
          <w:rFonts w:ascii="Verdana" w:hAnsi="Verdana"/>
          <w:sz w:val="21"/>
          <w:szCs w:val="21"/>
        </w:rPr>
        <w:t>s</w:t>
      </w:r>
      <w:r w:rsidRPr="00F025A3">
        <w:rPr>
          <w:rFonts w:ascii="Verdana" w:hAnsi="Verdana"/>
          <w:sz w:val="21"/>
          <w:szCs w:val="21"/>
        </w:rPr>
        <w:t xml:space="preserve"> to</w:t>
      </w:r>
      <w:r w:rsidRPr="00F025A3" w:rsidR="000B56CD">
        <w:rPr>
          <w:rFonts w:ascii="Verdana" w:hAnsi="Verdana"/>
          <w:sz w:val="21"/>
          <w:szCs w:val="21"/>
        </w:rPr>
        <w:t xml:space="preserve"> and </w:t>
      </w:r>
      <w:r w:rsidRPr="00F025A3">
        <w:rPr>
          <w:rFonts w:ascii="Verdana" w:hAnsi="Verdana"/>
          <w:sz w:val="21"/>
          <w:szCs w:val="21"/>
        </w:rPr>
        <w:t>interact</w:t>
      </w:r>
      <w:r w:rsidRPr="00F025A3" w:rsidR="000B56CD">
        <w:rPr>
          <w:rFonts w:ascii="Verdana" w:hAnsi="Verdana"/>
          <w:sz w:val="21"/>
          <w:szCs w:val="21"/>
        </w:rPr>
        <w:t>s</w:t>
      </w:r>
      <w:r w:rsidRPr="00F025A3">
        <w:rPr>
          <w:rFonts w:ascii="Verdana" w:hAnsi="Verdana"/>
          <w:sz w:val="21"/>
          <w:szCs w:val="21"/>
        </w:rPr>
        <w:t xml:space="preserve"> with other YHCC priorities</w:t>
      </w:r>
    </w:p>
    <w:p w:rsidRPr="00F025A3" w:rsidR="005F5F61" w:rsidP="005F5F61" w:rsidRDefault="005F5F61" w14:paraId="59927A02" w14:textId="79789A0D">
      <w:pPr>
        <w:pStyle w:val="ListParagraph"/>
        <w:rPr>
          <w:rFonts w:ascii="Verdana" w:hAnsi="Verdana"/>
          <w:i/>
          <w:sz w:val="21"/>
          <w:szCs w:val="21"/>
        </w:rPr>
      </w:pPr>
      <w:r w:rsidRPr="00F025A3">
        <w:rPr>
          <w:rFonts w:ascii="Verdana" w:hAnsi="Verdana"/>
          <w:i/>
          <w:sz w:val="21"/>
          <w:szCs w:val="21"/>
        </w:rPr>
        <w:t>Pop out box explaining links between this issue and broader NZ, CR, NR and JT priorities</w:t>
      </w:r>
    </w:p>
    <w:p w:rsidRPr="00F025A3" w:rsidR="00051B41" w:rsidP="005F5F61" w:rsidRDefault="00051B41" w14:paraId="799DA342" w14:textId="77777777">
      <w:pPr>
        <w:pStyle w:val="ListParagraph"/>
        <w:rPr>
          <w:rFonts w:ascii="Verdana" w:hAnsi="Verdana"/>
          <w:i/>
          <w:sz w:val="21"/>
          <w:szCs w:val="21"/>
        </w:rPr>
      </w:pPr>
    </w:p>
    <w:p w:rsidRPr="00F025A3" w:rsidR="00051B41" w:rsidP="00051B41" w:rsidRDefault="00051B41" w14:paraId="3AA89AE9" w14:textId="28BEF217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Who the key </w:t>
      </w:r>
      <w:r w:rsidRPr="00F025A3" w:rsidR="000B56CD">
        <w:rPr>
          <w:rFonts w:ascii="Verdana" w:hAnsi="Verdana"/>
          <w:sz w:val="21"/>
          <w:szCs w:val="21"/>
        </w:rPr>
        <w:t xml:space="preserve">stakeholders and decision makers are </w:t>
      </w:r>
      <w:r w:rsidRPr="00F025A3">
        <w:rPr>
          <w:rFonts w:ascii="Verdana" w:hAnsi="Verdana"/>
          <w:sz w:val="21"/>
          <w:szCs w:val="21"/>
        </w:rPr>
        <w:t xml:space="preserve">that need to be involved and </w:t>
      </w:r>
      <w:r w:rsidRPr="00F025A3" w:rsidR="000B56CD">
        <w:rPr>
          <w:rFonts w:ascii="Verdana" w:hAnsi="Verdana"/>
          <w:sz w:val="21"/>
          <w:szCs w:val="21"/>
        </w:rPr>
        <w:t>a reflection on the current position in the region</w:t>
      </w:r>
    </w:p>
    <w:p w:rsidRPr="00F025A3" w:rsidR="00051B41" w:rsidP="00051B41" w:rsidRDefault="00051B41" w14:paraId="714BAA0B" w14:textId="10B0CA5E">
      <w:pPr>
        <w:pStyle w:val="ListParagraph"/>
        <w:rPr>
          <w:rFonts w:ascii="Verdana" w:hAnsi="Verdana"/>
          <w:i/>
          <w:sz w:val="21"/>
          <w:szCs w:val="21"/>
        </w:rPr>
      </w:pPr>
      <w:r w:rsidRPr="00F025A3">
        <w:rPr>
          <w:rFonts w:ascii="Verdana" w:hAnsi="Verdana"/>
          <w:i/>
          <w:sz w:val="21"/>
          <w:szCs w:val="21"/>
        </w:rPr>
        <w:t>Pop out box setting out key stakeholders</w:t>
      </w:r>
      <w:r w:rsidRPr="00F025A3" w:rsidR="000B56CD">
        <w:rPr>
          <w:rFonts w:ascii="Verdana" w:hAnsi="Verdana"/>
          <w:i/>
          <w:sz w:val="21"/>
          <w:szCs w:val="21"/>
        </w:rPr>
        <w:t xml:space="preserve"> and decision makers</w:t>
      </w:r>
    </w:p>
    <w:p w:rsidRPr="00F025A3" w:rsidR="00051B41" w:rsidP="00051B41" w:rsidRDefault="00051B41" w14:paraId="2F8D17E2" w14:textId="77777777">
      <w:pPr>
        <w:rPr>
          <w:rFonts w:ascii="Verdana" w:hAnsi="Verdana"/>
          <w:i/>
          <w:sz w:val="21"/>
          <w:szCs w:val="21"/>
        </w:rPr>
      </w:pPr>
    </w:p>
    <w:p w:rsidRPr="00F025A3" w:rsidR="000B56CD" w:rsidP="000B56CD" w:rsidRDefault="000B56CD" w14:paraId="799AF71A" w14:textId="6A1C9428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should </w:t>
      </w:r>
      <w:r w:rsidRPr="00F025A3" w:rsidR="00B41C40">
        <w:rPr>
          <w:rFonts w:ascii="Verdana" w:hAnsi="Verdana"/>
          <w:sz w:val="21"/>
          <w:szCs w:val="21"/>
        </w:rPr>
        <w:t>key stakeholders and decision makers</w:t>
      </w:r>
      <w:r w:rsidRPr="00F025A3">
        <w:rPr>
          <w:rFonts w:ascii="Verdana" w:hAnsi="Verdana"/>
          <w:sz w:val="21"/>
          <w:szCs w:val="21"/>
        </w:rPr>
        <w:t xml:space="preserve"> be seeking to do?</w:t>
      </w:r>
    </w:p>
    <w:p w:rsidRPr="00F025A3" w:rsidR="002A0231" w:rsidP="00B41C40" w:rsidRDefault="000B56CD" w14:paraId="72EB7445" w14:textId="143ED870">
      <w:pPr>
        <w:pStyle w:val="ListParagraph"/>
        <w:rPr>
          <w:rFonts w:ascii="Verdana" w:hAnsi="Verdana"/>
          <w:iCs/>
          <w:sz w:val="21"/>
          <w:szCs w:val="21"/>
        </w:rPr>
      </w:pPr>
      <w:r w:rsidRPr="00F025A3">
        <w:rPr>
          <w:rFonts w:ascii="Verdana" w:hAnsi="Verdana"/>
          <w:i/>
          <w:sz w:val="21"/>
          <w:szCs w:val="21"/>
        </w:rPr>
        <w:t>Pop out box summarising the objective to be achieved and by when</w:t>
      </w:r>
    </w:p>
    <w:p w:rsidRPr="00F025A3" w:rsidR="002A0231" w:rsidP="00B41C40" w:rsidRDefault="002A0231" w14:paraId="0262F5D2" w14:textId="1AEBCB99">
      <w:pPr>
        <w:pStyle w:val="ListParagraph"/>
        <w:numPr>
          <w:ilvl w:val="1"/>
          <w:numId w:val="1"/>
        </w:numPr>
        <w:rPr>
          <w:rFonts w:ascii="Verdana" w:hAnsi="Verdana"/>
          <w:iCs/>
          <w:sz w:val="21"/>
          <w:szCs w:val="21"/>
        </w:rPr>
      </w:pPr>
      <w:r w:rsidRPr="00F025A3">
        <w:rPr>
          <w:rFonts w:ascii="Verdana" w:hAnsi="Verdana"/>
          <w:iCs/>
          <w:sz w:val="21"/>
          <w:szCs w:val="21"/>
        </w:rPr>
        <w:t xml:space="preserve">What does </w:t>
      </w:r>
      <w:r w:rsidRPr="00F025A3" w:rsidR="00B41C40">
        <w:rPr>
          <w:rFonts w:ascii="Verdana" w:hAnsi="Verdana"/>
          <w:iCs/>
          <w:sz w:val="21"/>
          <w:szCs w:val="21"/>
        </w:rPr>
        <w:t xml:space="preserve">this </w:t>
      </w:r>
      <w:r w:rsidRPr="00F025A3">
        <w:rPr>
          <w:rFonts w:ascii="Verdana" w:hAnsi="Verdana"/>
          <w:iCs/>
          <w:sz w:val="21"/>
          <w:szCs w:val="21"/>
        </w:rPr>
        <w:t>mean for an individual who wants to be climate ready?</w:t>
      </w:r>
    </w:p>
    <w:p w:rsidRPr="00F025A3" w:rsidR="000B56CD" w:rsidP="000B56CD" w:rsidRDefault="000B56CD" w14:paraId="16FEC004" w14:textId="77777777">
      <w:pPr>
        <w:rPr>
          <w:rFonts w:ascii="Verdana" w:hAnsi="Verdana"/>
          <w:i/>
          <w:sz w:val="21"/>
          <w:szCs w:val="21"/>
        </w:rPr>
      </w:pPr>
    </w:p>
    <w:p w:rsidRPr="00F025A3" w:rsidR="005F5F61" w:rsidP="005F5F61" w:rsidRDefault="005F5F61" w14:paraId="6D50A09E" w14:textId="3907B53F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is currently happening and is it consistent with what is needed</w:t>
      </w:r>
      <w:r w:rsidRPr="00F025A3" w:rsidR="000B56CD">
        <w:rPr>
          <w:rFonts w:ascii="Verdana" w:hAnsi="Verdana"/>
          <w:sz w:val="21"/>
          <w:szCs w:val="21"/>
        </w:rPr>
        <w:t>?</w:t>
      </w:r>
    </w:p>
    <w:p w:rsidRPr="00F025A3" w:rsidR="005F5F61" w:rsidP="002A0231" w:rsidRDefault="005F5F61" w14:paraId="4D055BAA" w14:textId="392C4D30">
      <w:pPr>
        <w:pStyle w:val="ListParagraph"/>
        <w:rPr>
          <w:rFonts w:ascii="Verdana" w:hAnsi="Verdana"/>
          <w:i/>
          <w:sz w:val="21"/>
          <w:szCs w:val="21"/>
        </w:rPr>
      </w:pPr>
      <w:r w:rsidRPr="00F025A3">
        <w:rPr>
          <w:rFonts w:ascii="Verdana" w:hAnsi="Verdana"/>
          <w:i/>
          <w:sz w:val="21"/>
          <w:szCs w:val="21"/>
        </w:rPr>
        <w:t xml:space="preserve">Pop out box showcasing current regional best practice </w:t>
      </w:r>
    </w:p>
    <w:p w:rsidRPr="00F025A3" w:rsidR="00051B41" w:rsidP="002A0231" w:rsidRDefault="005F5F61" w14:paraId="11EA86AD" w14:textId="7A856EA3">
      <w:pPr>
        <w:pStyle w:val="ListParagraph"/>
        <w:numPr>
          <w:ilvl w:val="1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capacities do we have and what are the main enablers/blockers? </w:t>
      </w:r>
    </w:p>
    <w:p w:rsidRPr="00F025A3" w:rsidR="00051B41" w:rsidP="002A0231" w:rsidRDefault="005F5F61" w14:paraId="4FF86111" w14:textId="39E14ECB">
      <w:pPr>
        <w:pStyle w:val="ListParagraph"/>
        <w:numPr>
          <w:ilvl w:val="1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can we do under current conditions</w:t>
      </w:r>
      <w:r w:rsidRPr="00F025A3" w:rsidR="000B56CD">
        <w:rPr>
          <w:rFonts w:ascii="Verdana" w:hAnsi="Verdana"/>
          <w:sz w:val="21"/>
          <w:szCs w:val="21"/>
        </w:rPr>
        <w:t>?</w:t>
      </w:r>
    </w:p>
    <w:p w:rsidRPr="00F025A3" w:rsidR="002A0231" w:rsidP="002A0231" w:rsidRDefault="002A0231" w14:paraId="1398832A" w14:textId="77777777">
      <w:pPr>
        <w:pStyle w:val="ListParagraph"/>
        <w:rPr>
          <w:rFonts w:ascii="Verdana" w:hAnsi="Verdana"/>
          <w:sz w:val="21"/>
          <w:szCs w:val="21"/>
        </w:rPr>
      </w:pPr>
    </w:p>
    <w:p w:rsidRPr="00F025A3" w:rsidR="005F5F61" w:rsidP="00051B41" w:rsidRDefault="00051B41" w14:paraId="59C09AC4" w14:textId="06B0BB4C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</w:t>
      </w:r>
      <w:r w:rsidRPr="00F025A3" w:rsidR="005F5F61">
        <w:rPr>
          <w:rFonts w:ascii="Verdana" w:hAnsi="Verdana"/>
          <w:sz w:val="21"/>
          <w:szCs w:val="21"/>
        </w:rPr>
        <w:t xml:space="preserve">hat policy or other support is needed to go further/faster? </w:t>
      </w:r>
    </w:p>
    <w:p w:rsidRPr="00F025A3" w:rsidR="005F5F61" w:rsidP="00051B41" w:rsidRDefault="005F5F61" w14:paraId="0017D63F" w14:textId="52F585F8">
      <w:pPr>
        <w:pStyle w:val="ListParagraph"/>
        <w:rPr>
          <w:rFonts w:ascii="Verdana" w:hAnsi="Verdana"/>
          <w:i/>
          <w:sz w:val="21"/>
          <w:szCs w:val="21"/>
        </w:rPr>
      </w:pPr>
      <w:r w:rsidRPr="00F025A3">
        <w:rPr>
          <w:rFonts w:ascii="Verdana" w:hAnsi="Verdana"/>
          <w:i/>
          <w:sz w:val="21"/>
          <w:szCs w:val="21"/>
        </w:rPr>
        <w:t xml:space="preserve">Pop out box on key policy </w:t>
      </w:r>
      <w:r w:rsidRPr="00F025A3" w:rsidR="00051B41">
        <w:rPr>
          <w:rFonts w:ascii="Verdana" w:hAnsi="Verdana"/>
          <w:i/>
          <w:sz w:val="21"/>
          <w:szCs w:val="21"/>
        </w:rPr>
        <w:t xml:space="preserve">or other support </w:t>
      </w:r>
      <w:r w:rsidRPr="00F025A3">
        <w:rPr>
          <w:rFonts w:ascii="Verdana" w:hAnsi="Verdana"/>
          <w:i/>
          <w:sz w:val="21"/>
          <w:szCs w:val="21"/>
        </w:rPr>
        <w:t>asks to enable action on this issue</w:t>
      </w:r>
    </w:p>
    <w:p w:rsidRPr="00F025A3" w:rsidR="00051B41" w:rsidP="00051B41" w:rsidRDefault="00051B41" w14:paraId="6D3D5477" w14:textId="77777777">
      <w:pPr>
        <w:pStyle w:val="ListParagraph"/>
        <w:rPr>
          <w:rFonts w:ascii="Verdana" w:hAnsi="Verdana"/>
          <w:i/>
          <w:sz w:val="21"/>
          <w:szCs w:val="21"/>
        </w:rPr>
      </w:pPr>
    </w:p>
    <w:p w:rsidRPr="00F025A3" w:rsidR="005F5F61" w:rsidP="005F5F61" w:rsidRDefault="005F5F61" w14:paraId="4CFE372E" w14:textId="3C0C1B78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 xml:space="preserve">What the Commission </w:t>
      </w:r>
      <w:r w:rsidRPr="00F025A3" w:rsidR="000B56CD">
        <w:rPr>
          <w:rFonts w:ascii="Verdana" w:hAnsi="Verdana"/>
          <w:sz w:val="21"/>
          <w:szCs w:val="21"/>
        </w:rPr>
        <w:t xml:space="preserve">is doing </w:t>
      </w:r>
      <w:r w:rsidRPr="00F025A3">
        <w:rPr>
          <w:rFonts w:ascii="Verdana" w:hAnsi="Verdana"/>
          <w:sz w:val="21"/>
          <w:szCs w:val="21"/>
        </w:rPr>
        <w:t>to develop and spread regional best practice</w:t>
      </w:r>
    </w:p>
    <w:p w:rsidRPr="00F025A3" w:rsidR="005F5F61" w:rsidP="00051B41" w:rsidRDefault="005F5F61" w14:paraId="24749C39" w14:textId="1AC12E3F">
      <w:pPr>
        <w:pStyle w:val="ListParagraph"/>
        <w:rPr>
          <w:rFonts w:ascii="Verdana" w:hAnsi="Verdana"/>
          <w:i/>
          <w:sz w:val="21"/>
          <w:szCs w:val="21"/>
        </w:rPr>
      </w:pPr>
      <w:r w:rsidRPr="00F025A3">
        <w:rPr>
          <w:rFonts w:ascii="Verdana" w:hAnsi="Verdana"/>
          <w:i/>
          <w:sz w:val="21"/>
          <w:szCs w:val="21"/>
        </w:rPr>
        <w:t>Pop out box mapping this issue onto deliverables from the CAP</w:t>
      </w:r>
    </w:p>
    <w:p w:rsidRPr="00F025A3" w:rsidR="00051B41" w:rsidP="00051B41" w:rsidRDefault="00051B41" w14:paraId="64DE4D38" w14:textId="77777777">
      <w:pPr>
        <w:pStyle w:val="ListParagraph"/>
        <w:rPr>
          <w:rFonts w:ascii="Verdana" w:hAnsi="Verdana"/>
          <w:i/>
          <w:sz w:val="21"/>
          <w:szCs w:val="21"/>
        </w:rPr>
      </w:pPr>
    </w:p>
    <w:p w:rsidRPr="00F025A3" w:rsidR="005F5F61" w:rsidP="005F5F61" w:rsidRDefault="005F5F61" w14:paraId="4F97C1B7" w14:textId="4BE5F46F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are the next steps needed to support or enable action</w:t>
      </w:r>
      <w:r w:rsidRPr="00F025A3" w:rsidR="00051B41">
        <w:rPr>
          <w:rFonts w:ascii="Verdana" w:hAnsi="Verdana"/>
          <w:sz w:val="21"/>
          <w:szCs w:val="21"/>
        </w:rPr>
        <w:t xml:space="preserve"> in the region</w:t>
      </w:r>
      <w:r w:rsidRPr="00F025A3">
        <w:rPr>
          <w:rFonts w:ascii="Verdana" w:hAnsi="Verdana"/>
          <w:sz w:val="21"/>
          <w:szCs w:val="21"/>
        </w:rPr>
        <w:t xml:space="preserve">? </w:t>
      </w:r>
    </w:p>
    <w:p w:rsidRPr="00F025A3" w:rsidR="000B56CD" w:rsidP="000B56CD" w:rsidRDefault="000B56CD" w14:paraId="4FDF1154" w14:textId="77777777">
      <w:pPr>
        <w:pStyle w:val="ListParagraph"/>
        <w:rPr>
          <w:rFonts w:ascii="Verdana" w:hAnsi="Verdana"/>
          <w:sz w:val="21"/>
          <w:szCs w:val="21"/>
        </w:rPr>
      </w:pPr>
    </w:p>
    <w:p w:rsidRPr="00F025A3" w:rsidR="005F5F61" w:rsidP="005F5F61" w:rsidRDefault="005F5F61" w14:paraId="0BEF79CD" w14:textId="0E92A3D3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025A3">
        <w:rPr>
          <w:rFonts w:ascii="Verdana" w:hAnsi="Verdana"/>
          <w:sz w:val="21"/>
          <w:szCs w:val="21"/>
        </w:rPr>
        <w:t>What is the timeframe for action and who should lead</w:t>
      </w:r>
      <w:r w:rsidRPr="00F025A3" w:rsidR="00051B41">
        <w:rPr>
          <w:rFonts w:ascii="Verdana" w:hAnsi="Verdana"/>
          <w:sz w:val="21"/>
          <w:szCs w:val="21"/>
        </w:rPr>
        <w:t>/be involved</w:t>
      </w:r>
      <w:r w:rsidRPr="00F025A3">
        <w:rPr>
          <w:rFonts w:ascii="Verdana" w:hAnsi="Verdana"/>
          <w:sz w:val="21"/>
          <w:szCs w:val="21"/>
        </w:rPr>
        <w:t>?</w:t>
      </w:r>
    </w:p>
    <w:p w:rsidRPr="00F025A3" w:rsidR="005F5F61" w:rsidP="00051B41" w:rsidRDefault="005F5F61" w14:paraId="1007E8E9" w14:textId="1A7EF9E7">
      <w:pPr>
        <w:pStyle w:val="ListParagraph"/>
        <w:rPr>
          <w:rFonts w:ascii="Verdana" w:hAnsi="Verdana"/>
          <w:i/>
          <w:sz w:val="21"/>
          <w:szCs w:val="21"/>
        </w:rPr>
      </w:pPr>
      <w:r w:rsidRPr="00F025A3">
        <w:rPr>
          <w:rFonts w:ascii="Verdana" w:hAnsi="Verdana"/>
          <w:i/>
          <w:sz w:val="21"/>
          <w:szCs w:val="21"/>
        </w:rPr>
        <w:t>Pop out box summarising the key action points</w:t>
      </w:r>
    </w:p>
    <w:p w:rsidRPr="00F025A3" w:rsidR="005F5F61" w:rsidP="005F5F61" w:rsidRDefault="005F5F61" w14:paraId="0D79A499" w14:textId="77777777">
      <w:pPr>
        <w:rPr>
          <w:rFonts w:ascii="Verdana" w:hAnsi="Verdana"/>
          <w:sz w:val="21"/>
          <w:szCs w:val="21"/>
        </w:rPr>
      </w:pPr>
    </w:p>
    <w:sectPr w:rsidRPr="00F025A3" w:rsidR="005F5F61" w:rsidSect="000B6EE3">
      <w:pgSz w:w="11900" w:h="16840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E8D" w:rsidP="00670B3F" w:rsidRDefault="00B71E8D" w14:paraId="24BFEB71" w14:textId="77777777">
      <w:r>
        <w:separator/>
      </w:r>
    </w:p>
  </w:endnote>
  <w:endnote w:type="continuationSeparator" w:id="0">
    <w:p w:rsidR="00B71E8D" w:rsidP="00670B3F" w:rsidRDefault="00B71E8D" w14:paraId="4015F0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E8D" w:rsidP="00670B3F" w:rsidRDefault="00B71E8D" w14:paraId="4AA4DB72" w14:textId="77777777">
      <w:r>
        <w:separator/>
      </w:r>
    </w:p>
  </w:footnote>
  <w:footnote w:type="continuationSeparator" w:id="0">
    <w:p w:rsidR="00B71E8D" w:rsidP="00670B3F" w:rsidRDefault="00B71E8D" w14:paraId="1AD1C95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706"/>
    <w:multiLevelType w:val="multilevel"/>
    <w:tmpl w:val="D8E8C0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8371D4"/>
    <w:multiLevelType w:val="hybridMultilevel"/>
    <w:tmpl w:val="FBDCDB28"/>
    <w:lvl w:ilvl="0" w:tplc="C262C51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400920"/>
    <w:multiLevelType w:val="hybridMultilevel"/>
    <w:tmpl w:val="C8EA511E"/>
    <w:lvl w:ilvl="0" w:tplc="16AADA7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5B33EA"/>
    <w:multiLevelType w:val="hybridMultilevel"/>
    <w:tmpl w:val="8C005E80"/>
    <w:lvl w:ilvl="0" w:tplc="58A07D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4D42"/>
    <w:multiLevelType w:val="hybridMultilevel"/>
    <w:tmpl w:val="B2747D48"/>
    <w:lvl w:ilvl="0" w:tplc="82E409E4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FE1CDC"/>
    <w:multiLevelType w:val="hybridMultilevel"/>
    <w:tmpl w:val="5A8C197E"/>
    <w:lvl w:ilvl="0" w:tplc="68562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4E69B0"/>
    <w:multiLevelType w:val="hybridMultilevel"/>
    <w:tmpl w:val="C1B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C65B57"/>
    <w:multiLevelType w:val="hybridMultilevel"/>
    <w:tmpl w:val="FEF81A42"/>
    <w:lvl w:ilvl="0" w:tplc="58A07D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BB"/>
    <w:rsid w:val="000041B4"/>
    <w:rsid w:val="00044F7B"/>
    <w:rsid w:val="00051B41"/>
    <w:rsid w:val="00061D11"/>
    <w:rsid w:val="00063601"/>
    <w:rsid w:val="00070956"/>
    <w:rsid w:val="000768A2"/>
    <w:rsid w:val="00090A93"/>
    <w:rsid w:val="000B56CD"/>
    <w:rsid w:val="000B6EE3"/>
    <w:rsid w:val="000F711F"/>
    <w:rsid w:val="00140662"/>
    <w:rsid w:val="00143838"/>
    <w:rsid w:val="00151645"/>
    <w:rsid w:val="00167934"/>
    <w:rsid w:val="00182FA8"/>
    <w:rsid w:val="00195DDC"/>
    <w:rsid w:val="001967FA"/>
    <w:rsid w:val="001B5957"/>
    <w:rsid w:val="001B603A"/>
    <w:rsid w:val="001D2CDC"/>
    <w:rsid w:val="00223CB0"/>
    <w:rsid w:val="00234251"/>
    <w:rsid w:val="002449E9"/>
    <w:rsid w:val="00244D6F"/>
    <w:rsid w:val="0025559E"/>
    <w:rsid w:val="002769A8"/>
    <w:rsid w:val="00283C9C"/>
    <w:rsid w:val="00294CBA"/>
    <w:rsid w:val="002A0231"/>
    <w:rsid w:val="002F042D"/>
    <w:rsid w:val="002F0548"/>
    <w:rsid w:val="00324578"/>
    <w:rsid w:val="003B43F1"/>
    <w:rsid w:val="003D7A28"/>
    <w:rsid w:val="003E4BFB"/>
    <w:rsid w:val="00450172"/>
    <w:rsid w:val="004966B5"/>
    <w:rsid w:val="004A47A7"/>
    <w:rsid w:val="004B1247"/>
    <w:rsid w:val="004D42F4"/>
    <w:rsid w:val="00502BA1"/>
    <w:rsid w:val="00522CDA"/>
    <w:rsid w:val="00524868"/>
    <w:rsid w:val="00541A2E"/>
    <w:rsid w:val="005735CB"/>
    <w:rsid w:val="005C387F"/>
    <w:rsid w:val="005D5820"/>
    <w:rsid w:val="005F5F61"/>
    <w:rsid w:val="006215B3"/>
    <w:rsid w:val="006225BB"/>
    <w:rsid w:val="00637E8A"/>
    <w:rsid w:val="00654ABF"/>
    <w:rsid w:val="00670B3F"/>
    <w:rsid w:val="0068035A"/>
    <w:rsid w:val="006F0229"/>
    <w:rsid w:val="0070459F"/>
    <w:rsid w:val="00704C3C"/>
    <w:rsid w:val="0075201E"/>
    <w:rsid w:val="00754DAF"/>
    <w:rsid w:val="0077447D"/>
    <w:rsid w:val="007919A0"/>
    <w:rsid w:val="00797070"/>
    <w:rsid w:val="007E2294"/>
    <w:rsid w:val="00821470"/>
    <w:rsid w:val="00852719"/>
    <w:rsid w:val="00857ACA"/>
    <w:rsid w:val="00881113"/>
    <w:rsid w:val="00890A35"/>
    <w:rsid w:val="00925076"/>
    <w:rsid w:val="00943C12"/>
    <w:rsid w:val="00951706"/>
    <w:rsid w:val="009B6072"/>
    <w:rsid w:val="009E655E"/>
    <w:rsid w:val="00A30F14"/>
    <w:rsid w:val="00A71130"/>
    <w:rsid w:val="00AB7DB0"/>
    <w:rsid w:val="00AC0095"/>
    <w:rsid w:val="00AD0433"/>
    <w:rsid w:val="00B03D4D"/>
    <w:rsid w:val="00B30671"/>
    <w:rsid w:val="00B41C40"/>
    <w:rsid w:val="00B52BF6"/>
    <w:rsid w:val="00B54C02"/>
    <w:rsid w:val="00B70FB6"/>
    <w:rsid w:val="00B71E8D"/>
    <w:rsid w:val="00B9026B"/>
    <w:rsid w:val="00BB4B51"/>
    <w:rsid w:val="00BD256C"/>
    <w:rsid w:val="00BD7F13"/>
    <w:rsid w:val="00BF375C"/>
    <w:rsid w:val="00C065C2"/>
    <w:rsid w:val="00C642A6"/>
    <w:rsid w:val="00C968BB"/>
    <w:rsid w:val="00CC7217"/>
    <w:rsid w:val="00CF0AAD"/>
    <w:rsid w:val="00D05E1C"/>
    <w:rsid w:val="00D24F69"/>
    <w:rsid w:val="00D66A3F"/>
    <w:rsid w:val="00DD1A9A"/>
    <w:rsid w:val="00DF3F4D"/>
    <w:rsid w:val="00E31A8F"/>
    <w:rsid w:val="00E9390E"/>
    <w:rsid w:val="00EC050C"/>
    <w:rsid w:val="00ED0870"/>
    <w:rsid w:val="00ED47B7"/>
    <w:rsid w:val="00EF27D0"/>
    <w:rsid w:val="00F004D2"/>
    <w:rsid w:val="00F025A3"/>
    <w:rsid w:val="00F24574"/>
    <w:rsid w:val="00F30176"/>
    <w:rsid w:val="00F30B21"/>
    <w:rsid w:val="00FB75B5"/>
    <w:rsid w:val="00FC1444"/>
    <w:rsid w:val="00FD0B81"/>
    <w:rsid w:val="00FD4430"/>
    <w:rsid w:val="1FE4D0AB"/>
    <w:rsid w:val="22309C00"/>
    <w:rsid w:val="25683CC2"/>
    <w:rsid w:val="25683CC2"/>
    <w:rsid w:val="289FDD84"/>
    <w:rsid w:val="43E7791E"/>
    <w:rsid w:val="79C6B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1DEAF0"/>
  <w15:chartTrackingRefBased/>
  <w15:docId w15:val="{8E870A24-36D7-2149-93D3-22187F49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4F6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8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24F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7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2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5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4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1645"/>
    <w:rPr>
      <w:rFonts w:ascii="Times New Roman" w:hAnsi="Times New Roman" w:cs="Times New Roman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90A35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3" ma:contentTypeDescription="Create a new document." ma:contentTypeScope="" ma:versionID="6123c7cd8539af8e15e98b9283e8e7ec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9c88c5c8fbb747ae482f9451ef17d855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E955D-2921-4A90-915A-58249EC3238C}"/>
</file>

<file path=customXml/itemProps2.xml><?xml version="1.0" encoding="utf-8"?>
<ds:datastoreItem xmlns:ds="http://schemas.openxmlformats.org/officeDocument/2006/customXml" ds:itemID="{51CDDFCB-1069-47F5-ADFF-18840C2CD526}"/>
</file>

<file path=customXml/itemProps3.xml><?xml version="1.0" encoding="utf-8"?>
<ds:datastoreItem xmlns:ds="http://schemas.openxmlformats.org/officeDocument/2006/customXml" ds:itemID="{FED4D082-49FE-47B5-BDBE-2FCB7CEE8B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Gouldson</dc:creator>
  <keywords/>
  <dc:description/>
  <lastModifiedBy>Foster, Rosa</lastModifiedBy>
  <revision>3</revision>
  <dcterms:created xsi:type="dcterms:W3CDTF">2022-06-08T16:54:00.0000000Z</dcterms:created>
  <dcterms:modified xsi:type="dcterms:W3CDTF">2022-06-09T08:36:13.9457778Z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</Properties>
</file>